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8D0B" w14:textId="465A73F5" w:rsidR="00092AF7" w:rsidRPr="00092AF7" w:rsidRDefault="00D735FE" w:rsidP="00092AF7">
      <w:pPr>
        <w:rPr>
          <w:rFonts w:ascii="Times New Roman" w:eastAsia="Times New Roman" w:hAnsi="Times New Roman" w:cs="Times New Roman"/>
        </w:rPr>
      </w:pPr>
      <w:r w:rsidRPr="00D735FE">
        <w:rPr>
          <w:rFonts w:ascii="Times New Roman" w:eastAsia="Times New Roman" w:hAnsi="Times New Roman" w:cs="Times New Roman"/>
          <w:noProof/>
        </w:rPr>
        <w:drawing>
          <wp:anchor distT="0" distB="0" distL="114300" distR="114300" simplePos="0" relativeHeight="251657215" behindDoc="1" locked="0" layoutInCell="1" allowOverlap="1" wp14:anchorId="3736DD66" wp14:editId="75E5D2AB">
            <wp:simplePos x="0" y="0"/>
            <wp:positionH relativeFrom="column">
              <wp:posOffset>-533400</wp:posOffset>
            </wp:positionH>
            <wp:positionV relativeFrom="paragraph">
              <wp:posOffset>-596899</wp:posOffset>
            </wp:positionV>
            <wp:extent cx="7023100" cy="1473200"/>
            <wp:effectExtent l="0" t="0" r="0" b="0"/>
            <wp:wrapNone/>
            <wp:docPr id="37" name="Picture 36">
              <a:extLst xmlns:a="http://schemas.openxmlformats.org/drawingml/2006/main">
                <a:ext uri="{FF2B5EF4-FFF2-40B4-BE49-F238E27FC236}">
                  <a16:creationId xmlns:a16="http://schemas.microsoft.com/office/drawing/2014/main" id="{76BA87C2-B0D5-6040-8B31-5B1D4D39F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76BA87C2-B0D5-6040-8B31-5B1D4D39FC6B}"/>
                        </a:ext>
                      </a:extLst>
                    </pic:cNvPr>
                    <pic:cNvPicPr>
                      <a:picLocks noChangeAspect="1"/>
                    </pic:cNvPicPr>
                  </pic:nvPicPr>
                  <pic:blipFill rotWithShape="1">
                    <a:blip r:embed="rId8">
                      <a:extLst>
                        <a:ext uri="{28A0092B-C50C-407E-A947-70E740481C1C}">
                          <a14:useLocalDpi xmlns:a14="http://schemas.microsoft.com/office/drawing/2010/main" val="0"/>
                        </a:ext>
                      </a:extLst>
                    </a:blip>
                    <a:srcRect b="9832"/>
                    <a:stretch/>
                  </pic:blipFill>
                  <pic:spPr bwMode="auto">
                    <a:xfrm>
                      <a:off x="0" y="0"/>
                      <a:ext cx="7023100" cy="14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9C707" w14:textId="77777777" w:rsidR="00D735FE" w:rsidRDefault="00D735FE" w:rsidP="00092AF7">
      <w:pPr>
        <w:jc w:val="center"/>
        <w:rPr>
          <w:rFonts w:ascii="Calibri" w:hAnsi="Calibri" w:cs="Calibri"/>
          <w:b/>
          <w:bCs/>
          <w:color w:val="000000" w:themeColor="text1"/>
          <w:sz w:val="36"/>
          <w:szCs w:val="36"/>
        </w:rPr>
      </w:pPr>
    </w:p>
    <w:p w14:paraId="314FEEDD" w14:textId="64A8F2E3" w:rsidR="00D735FE" w:rsidRDefault="00D735FE" w:rsidP="00092AF7">
      <w:pPr>
        <w:jc w:val="center"/>
        <w:rPr>
          <w:rFonts w:ascii="Calibri" w:hAnsi="Calibri" w:cs="Calibri"/>
          <w:b/>
          <w:bCs/>
          <w:color w:val="000000" w:themeColor="text1"/>
          <w:sz w:val="36"/>
          <w:szCs w:val="36"/>
        </w:rPr>
      </w:pPr>
    </w:p>
    <w:p w14:paraId="2AFE7A9B" w14:textId="1FAAE437" w:rsidR="00D735FE" w:rsidRDefault="00D735FE" w:rsidP="00D735FE">
      <w:pPr>
        <w:rPr>
          <w:rFonts w:ascii="Calibri" w:hAnsi="Calibri" w:cs="Calibri"/>
          <w:b/>
          <w:bCs/>
          <w:color w:val="000000" w:themeColor="text1"/>
          <w:sz w:val="36"/>
          <w:szCs w:val="36"/>
        </w:rPr>
      </w:pPr>
    </w:p>
    <w:p w14:paraId="51D8B244" w14:textId="37F94E01" w:rsidR="00092AF7" w:rsidRPr="00092AF7" w:rsidRDefault="00092AF7" w:rsidP="00D735FE">
      <w:pPr>
        <w:jc w:val="center"/>
        <w:rPr>
          <w:rFonts w:ascii="Calibri" w:hAnsi="Calibri" w:cs="Calibri"/>
          <w:b/>
          <w:bCs/>
          <w:color w:val="000000" w:themeColor="text1"/>
          <w:sz w:val="36"/>
          <w:szCs w:val="36"/>
        </w:rPr>
      </w:pPr>
      <w:r w:rsidRPr="00092AF7">
        <w:rPr>
          <w:rFonts w:ascii="Calibri" w:hAnsi="Calibri" w:cs="Calibri"/>
          <w:b/>
          <w:bCs/>
          <w:color w:val="000000" w:themeColor="text1"/>
          <w:sz w:val="36"/>
          <w:szCs w:val="36"/>
        </w:rPr>
        <w:t>Knowledge Mobilization Project:</w:t>
      </w:r>
    </w:p>
    <w:p w14:paraId="777153A0" w14:textId="4EEC4289" w:rsidR="00EF45F8" w:rsidRPr="00092AF7" w:rsidRDefault="00092AF7" w:rsidP="00092AF7">
      <w:pPr>
        <w:jc w:val="center"/>
        <w:rPr>
          <w:rFonts w:ascii="Calibri" w:hAnsi="Calibri" w:cs="Calibri"/>
          <w:color w:val="000000" w:themeColor="text1"/>
          <w:sz w:val="36"/>
          <w:szCs w:val="36"/>
        </w:rPr>
      </w:pPr>
      <w:r w:rsidRPr="00092AF7">
        <w:rPr>
          <w:rFonts w:ascii="Calibri" w:hAnsi="Calibri" w:cs="Calibri"/>
          <w:color w:val="000000" w:themeColor="text1"/>
          <w:sz w:val="36"/>
          <w:szCs w:val="36"/>
        </w:rPr>
        <w:t xml:space="preserve">Information for agencies working with </w:t>
      </w:r>
      <w:r w:rsidR="00AF1C81">
        <w:rPr>
          <w:rFonts w:ascii="Calibri" w:hAnsi="Calibri" w:cs="Calibri"/>
          <w:color w:val="000000" w:themeColor="text1"/>
          <w:sz w:val="36"/>
          <w:szCs w:val="36"/>
        </w:rPr>
        <w:t xml:space="preserve">immigrant and refugee </w:t>
      </w:r>
      <w:r w:rsidR="00AF1C81" w:rsidRPr="00092AF7">
        <w:rPr>
          <w:rFonts w:ascii="Calibri" w:hAnsi="Calibri" w:cs="Calibri"/>
          <w:color w:val="000000" w:themeColor="text1"/>
          <w:sz w:val="36"/>
          <w:szCs w:val="36"/>
        </w:rPr>
        <w:t>communities</w:t>
      </w:r>
    </w:p>
    <w:p w14:paraId="7B831EBD" w14:textId="766D28D1" w:rsidR="00092AF7" w:rsidRPr="00092AF7" w:rsidRDefault="00092AF7" w:rsidP="00092AF7">
      <w:pPr>
        <w:rPr>
          <w:rFonts w:ascii="Times New Roman" w:eastAsia="Times New Roman" w:hAnsi="Times New Roman" w:cs="Times New Roman"/>
          <w:sz w:val="22"/>
          <w:szCs w:val="22"/>
        </w:rPr>
      </w:pPr>
      <w:r w:rsidRPr="00092AF7">
        <w:rPr>
          <w:rFonts w:ascii="Times New Roman" w:eastAsia="Times New Roman" w:hAnsi="Times New Roman" w:cs="Times New Roman"/>
          <w:sz w:val="22"/>
          <w:szCs w:val="22"/>
        </w:rPr>
        <w:fldChar w:fldCharType="begin"/>
      </w:r>
      <w:r w:rsidRPr="00092AF7">
        <w:rPr>
          <w:rFonts w:ascii="Times New Roman" w:eastAsia="Times New Roman" w:hAnsi="Times New Roman" w:cs="Times New Roman"/>
          <w:sz w:val="22"/>
          <w:szCs w:val="22"/>
        </w:rPr>
        <w:instrText xml:space="preserve"> INCLUDEPICTURE "https://upload.wikimedia.org/wikipedia/commons/thumb/2/2f/Medicine_Wheel.png/800px-Medicine_Wheel.png" \* MERGEFORMATINET </w:instrText>
      </w:r>
      <w:r w:rsidR="00717117">
        <w:rPr>
          <w:rFonts w:ascii="Times New Roman" w:eastAsia="Times New Roman" w:hAnsi="Times New Roman" w:cs="Times New Roman"/>
          <w:sz w:val="22"/>
          <w:szCs w:val="22"/>
        </w:rPr>
        <w:fldChar w:fldCharType="separate"/>
      </w:r>
      <w:r w:rsidRPr="00092AF7">
        <w:rPr>
          <w:rFonts w:ascii="Times New Roman" w:eastAsia="Times New Roman" w:hAnsi="Times New Roman" w:cs="Times New Roman"/>
          <w:sz w:val="22"/>
          <w:szCs w:val="22"/>
        </w:rPr>
        <w:fldChar w:fldCharType="end"/>
      </w:r>
    </w:p>
    <w:p w14:paraId="19DBCC97" w14:textId="77777777" w:rsidR="00092AF7" w:rsidRPr="00375431" w:rsidRDefault="00092AF7" w:rsidP="00092AF7">
      <w:pPr>
        <w:spacing w:line="276" w:lineRule="auto"/>
        <w:rPr>
          <w:b/>
          <w:bCs/>
          <w:color w:val="014AAD"/>
          <w:u w:val="single"/>
        </w:rPr>
      </w:pPr>
      <w:r w:rsidRPr="00375431">
        <w:rPr>
          <w:b/>
          <w:bCs/>
          <w:color w:val="014AAD"/>
          <w:u w:val="single"/>
        </w:rPr>
        <w:t xml:space="preserve">Did you know that… </w:t>
      </w:r>
    </w:p>
    <w:p w14:paraId="3E73F703" w14:textId="77777777" w:rsidR="00AF1C81" w:rsidRPr="00AF1C81" w:rsidRDefault="00AF1C81" w:rsidP="00AF1C81">
      <w:pPr>
        <w:pStyle w:val="ListParagraph"/>
        <w:numPr>
          <w:ilvl w:val="0"/>
          <w:numId w:val="7"/>
        </w:numPr>
        <w:spacing w:line="276" w:lineRule="auto"/>
        <w:rPr>
          <w:color w:val="000000" w:themeColor="text1"/>
        </w:rPr>
      </w:pPr>
      <w:r w:rsidRPr="00AF1C81">
        <w:rPr>
          <w:color w:val="000000" w:themeColor="text1"/>
        </w:rPr>
        <w:t>Racial minority groups continue to be overrepresented in child welfare settings in Canada</w:t>
      </w:r>
      <w:r w:rsidRPr="00AF1C81">
        <w:rPr>
          <w:color w:val="000000" w:themeColor="text1"/>
          <w:vertAlign w:val="superscript"/>
        </w:rPr>
        <w:t>1</w:t>
      </w:r>
      <w:r w:rsidRPr="00AF1C81">
        <w:rPr>
          <w:color w:val="000000" w:themeColor="text1"/>
        </w:rPr>
        <w:t xml:space="preserve">. </w:t>
      </w:r>
    </w:p>
    <w:p w14:paraId="01D80A41" w14:textId="77777777" w:rsidR="00AF1C81" w:rsidRPr="00AF1C81" w:rsidRDefault="00AF1C81" w:rsidP="00AF1C81">
      <w:pPr>
        <w:pStyle w:val="ListParagraph"/>
        <w:numPr>
          <w:ilvl w:val="0"/>
          <w:numId w:val="7"/>
        </w:numPr>
        <w:spacing w:line="276" w:lineRule="auto"/>
        <w:rPr>
          <w:color w:val="000000" w:themeColor="text1"/>
        </w:rPr>
      </w:pPr>
      <w:r w:rsidRPr="00AF1C81">
        <w:rPr>
          <w:color w:val="000000" w:themeColor="text1"/>
        </w:rPr>
        <w:t>Kinship placements function as a protective factor for children and can minimize trauma. Without this, children often present more serious issues after returning from foster care.</w:t>
      </w:r>
    </w:p>
    <w:p w14:paraId="580E231F" w14:textId="77777777" w:rsidR="00AF1C81" w:rsidRPr="00AF1C81" w:rsidRDefault="00AF1C81" w:rsidP="00AF1C81">
      <w:pPr>
        <w:pStyle w:val="ListParagraph"/>
        <w:numPr>
          <w:ilvl w:val="0"/>
          <w:numId w:val="7"/>
        </w:numPr>
        <w:spacing w:line="276" w:lineRule="auto"/>
        <w:rPr>
          <w:color w:val="000000" w:themeColor="text1"/>
        </w:rPr>
      </w:pPr>
      <w:r w:rsidRPr="00AF1C81">
        <w:rPr>
          <w:color w:val="000000" w:themeColor="text1"/>
        </w:rPr>
        <w:t xml:space="preserve">Immigrant and refugee families need clear and transparent information about Canada’s laws in order to prevent entry and re-entry into care. These laws include obligations to report suspected abuse or negligence and laws limiting physical punishment. These laws can differ between Canada and the country of origin.   </w:t>
      </w:r>
    </w:p>
    <w:p w14:paraId="31664F5B" w14:textId="77777777" w:rsidR="00AF1C81" w:rsidRPr="00AF1C81" w:rsidRDefault="00AF1C81" w:rsidP="00AF1C81">
      <w:pPr>
        <w:pStyle w:val="ListParagraph"/>
        <w:numPr>
          <w:ilvl w:val="0"/>
          <w:numId w:val="7"/>
        </w:numPr>
        <w:spacing w:line="276" w:lineRule="auto"/>
        <w:rPr>
          <w:color w:val="000000" w:themeColor="text1"/>
        </w:rPr>
      </w:pPr>
      <w:r w:rsidRPr="00AF1C81">
        <w:rPr>
          <w:color w:val="000000" w:themeColor="text1"/>
        </w:rPr>
        <w:t xml:space="preserve">Immigrant and refugee families need support for parenting in the Canadian context, using anti-oppression frameworks and culturally appropriate approaches. </w:t>
      </w:r>
    </w:p>
    <w:p w14:paraId="03275BDD" w14:textId="77777777" w:rsidR="00851E89" w:rsidRPr="00851E89" w:rsidRDefault="00851E89" w:rsidP="00851E89">
      <w:pPr>
        <w:pStyle w:val="ListParagraph"/>
        <w:spacing w:line="276" w:lineRule="auto"/>
        <w:ind w:left="643"/>
        <w:rPr>
          <w:color w:val="000000" w:themeColor="text1"/>
        </w:rPr>
      </w:pPr>
    </w:p>
    <w:p w14:paraId="4495CE6B" w14:textId="0AAE87BE" w:rsidR="00092AF7" w:rsidRPr="00375431" w:rsidRDefault="00AF1C81" w:rsidP="00092AF7">
      <w:pPr>
        <w:spacing w:line="276" w:lineRule="auto"/>
        <w:rPr>
          <w:b/>
          <w:bCs/>
          <w:color w:val="014AAD"/>
          <w:u w:val="single"/>
        </w:rPr>
      </w:pPr>
      <w:r>
        <w:rPr>
          <w:b/>
          <w:bCs/>
          <w:color w:val="014AAD"/>
          <w:u w:val="single"/>
        </w:rPr>
        <w:t>Newcomer</w:t>
      </w:r>
      <w:r w:rsidR="00092AF7" w:rsidRPr="00375431">
        <w:rPr>
          <w:b/>
          <w:bCs/>
          <w:color w:val="014AAD"/>
          <w:u w:val="single"/>
        </w:rPr>
        <w:t xml:space="preserve"> families and communities have supports through…</w:t>
      </w:r>
    </w:p>
    <w:p w14:paraId="649A42D0" w14:textId="77777777" w:rsidR="00AF1C81" w:rsidRDefault="00AF1C81" w:rsidP="00AF1C81">
      <w:pPr>
        <w:pStyle w:val="ListParagraph"/>
        <w:numPr>
          <w:ilvl w:val="0"/>
          <w:numId w:val="9"/>
        </w:numPr>
        <w:spacing w:line="276" w:lineRule="auto"/>
        <w:rPr>
          <w:color w:val="000000" w:themeColor="text1"/>
        </w:rPr>
      </w:pPr>
      <w:r>
        <w:rPr>
          <w:color w:val="000000" w:themeColor="text1"/>
        </w:rPr>
        <w:t>S</w:t>
      </w:r>
      <w:r w:rsidRPr="006A441A">
        <w:rPr>
          <w:color w:val="000000" w:themeColor="text1"/>
        </w:rPr>
        <w:t xml:space="preserve">trong intrafamilial bonds, </w:t>
      </w:r>
      <w:r>
        <w:rPr>
          <w:color w:val="000000" w:themeColor="text1"/>
        </w:rPr>
        <w:t xml:space="preserve">which include </w:t>
      </w:r>
      <w:r w:rsidRPr="006A441A">
        <w:rPr>
          <w:color w:val="000000" w:themeColor="text1"/>
        </w:rPr>
        <w:t>participation in activities with all family members, a close relationship with extended family membe</w:t>
      </w:r>
      <w:r>
        <w:rPr>
          <w:color w:val="000000" w:themeColor="text1"/>
        </w:rPr>
        <w:t xml:space="preserve">rs, and children and youth </w:t>
      </w:r>
      <w:r w:rsidRPr="00AF1C81">
        <w:rPr>
          <w:color w:val="000000" w:themeColor="text1"/>
        </w:rPr>
        <w:t xml:space="preserve">who </w:t>
      </w:r>
      <w:r w:rsidRPr="006A441A">
        <w:rPr>
          <w:color w:val="000000" w:themeColor="text1"/>
        </w:rPr>
        <w:t>are highly committed to their families.</w:t>
      </w:r>
      <w:r>
        <w:rPr>
          <w:color w:val="000000" w:themeColor="text1"/>
        </w:rPr>
        <w:t xml:space="preserve">  </w:t>
      </w:r>
    </w:p>
    <w:p w14:paraId="0D0207A6" w14:textId="77777777" w:rsidR="00AF1C81" w:rsidRPr="009B4A62" w:rsidRDefault="00AF1C81" w:rsidP="00AF1C81">
      <w:pPr>
        <w:pStyle w:val="ListParagraph"/>
        <w:numPr>
          <w:ilvl w:val="0"/>
          <w:numId w:val="9"/>
        </w:numPr>
        <w:spacing w:line="276" w:lineRule="auto"/>
        <w:rPr>
          <w:color w:val="000000" w:themeColor="text1"/>
        </w:rPr>
      </w:pPr>
      <w:r>
        <w:rPr>
          <w:color w:val="000000" w:themeColor="text1"/>
        </w:rPr>
        <w:t>Strong cultural ties that may also</w:t>
      </w:r>
      <w:r w:rsidRPr="006A441A">
        <w:rPr>
          <w:color w:val="000000" w:themeColor="text1"/>
        </w:rPr>
        <w:t xml:space="preserve"> provide access to a religious community, </w:t>
      </w:r>
      <w:r w:rsidRPr="00AF1C81">
        <w:rPr>
          <w:color w:val="000000" w:themeColor="text1"/>
        </w:rPr>
        <w:t>ethno-</w:t>
      </w:r>
      <w:r w:rsidRPr="006A441A">
        <w:rPr>
          <w:color w:val="000000" w:themeColor="text1"/>
        </w:rPr>
        <w:t xml:space="preserve">cultural traditions, and values.  </w:t>
      </w:r>
    </w:p>
    <w:p w14:paraId="34F02A42" w14:textId="77777777" w:rsidR="00851E89" w:rsidRPr="00851E89" w:rsidRDefault="00851E89" w:rsidP="00851E89">
      <w:pPr>
        <w:pStyle w:val="ListParagraph"/>
        <w:spacing w:line="276" w:lineRule="auto"/>
        <w:ind w:left="643"/>
        <w:rPr>
          <w:color w:val="000000" w:themeColor="text1"/>
        </w:rPr>
      </w:pPr>
    </w:p>
    <w:p w14:paraId="646980A1" w14:textId="387B2697" w:rsidR="00092AF7" w:rsidRPr="00375431" w:rsidRDefault="00092AF7" w:rsidP="00092AF7">
      <w:pPr>
        <w:spacing w:line="276" w:lineRule="auto"/>
        <w:rPr>
          <w:b/>
          <w:bCs/>
          <w:color w:val="014AAD"/>
          <w:u w:val="single"/>
        </w:rPr>
      </w:pPr>
      <w:r w:rsidRPr="00375431">
        <w:rPr>
          <w:b/>
          <w:bCs/>
          <w:color w:val="014AAD"/>
          <w:u w:val="single"/>
        </w:rPr>
        <w:t xml:space="preserve">Intersecting factors that shape the experience of </w:t>
      </w:r>
      <w:r w:rsidR="00AF1C81">
        <w:rPr>
          <w:b/>
          <w:bCs/>
          <w:color w:val="014AAD"/>
          <w:u w:val="single"/>
        </w:rPr>
        <w:t>newcomer</w:t>
      </w:r>
      <w:r w:rsidRPr="00375431">
        <w:rPr>
          <w:b/>
          <w:bCs/>
          <w:color w:val="014AAD"/>
          <w:u w:val="single"/>
        </w:rPr>
        <w:t xml:space="preserve"> families include…</w:t>
      </w:r>
    </w:p>
    <w:p w14:paraId="67843F7A" w14:textId="77777777" w:rsidR="00AF1C81" w:rsidRDefault="00AF1C81" w:rsidP="00AF1C81">
      <w:pPr>
        <w:pStyle w:val="ListParagraph"/>
        <w:numPr>
          <w:ilvl w:val="0"/>
          <w:numId w:val="9"/>
        </w:numPr>
        <w:spacing w:line="276" w:lineRule="auto"/>
        <w:rPr>
          <w:color w:val="000000" w:themeColor="text1"/>
        </w:rPr>
      </w:pPr>
      <w:r w:rsidRPr="00AF1C81">
        <w:rPr>
          <w:color w:val="000000" w:themeColor="text1"/>
        </w:rPr>
        <w:t>Gender, r</w:t>
      </w:r>
      <w:r w:rsidRPr="006A441A">
        <w:rPr>
          <w:color w:val="000000" w:themeColor="text1"/>
        </w:rPr>
        <w:t>ace, culture, language, and religion</w:t>
      </w:r>
      <w:r>
        <w:rPr>
          <w:color w:val="000000" w:themeColor="text1"/>
        </w:rPr>
        <w:t>, which</w:t>
      </w:r>
      <w:r w:rsidRPr="006A441A">
        <w:rPr>
          <w:color w:val="000000" w:themeColor="text1"/>
        </w:rPr>
        <w:t xml:space="preserve"> intersect in ways that create challenges and barriers to newcomers’ integration</w:t>
      </w:r>
      <w:r w:rsidRPr="00AF1C81">
        <w:rPr>
          <w:color w:val="000000" w:themeColor="text1"/>
          <w:vertAlign w:val="superscript"/>
        </w:rPr>
        <w:t>2</w:t>
      </w:r>
      <w:r w:rsidRPr="006A441A">
        <w:rPr>
          <w:color w:val="000000" w:themeColor="text1"/>
        </w:rPr>
        <w:t>.</w:t>
      </w:r>
      <w:r>
        <w:rPr>
          <w:color w:val="000000" w:themeColor="text1"/>
        </w:rPr>
        <w:t xml:space="preserve">  </w:t>
      </w:r>
    </w:p>
    <w:p w14:paraId="5784163E" w14:textId="77777777" w:rsidR="00AF1C81" w:rsidRPr="005C599D" w:rsidRDefault="00AF1C81" w:rsidP="00AF1C81">
      <w:pPr>
        <w:pStyle w:val="ListParagraph"/>
        <w:numPr>
          <w:ilvl w:val="0"/>
          <w:numId w:val="9"/>
        </w:numPr>
        <w:spacing w:line="276" w:lineRule="auto"/>
        <w:rPr>
          <w:color w:val="000000" w:themeColor="text1"/>
        </w:rPr>
      </w:pPr>
      <w:r>
        <w:rPr>
          <w:color w:val="000000" w:themeColor="text1"/>
        </w:rPr>
        <w:t>La</w:t>
      </w:r>
      <w:r w:rsidRPr="005C599D">
        <w:rPr>
          <w:color w:val="000000" w:themeColor="text1"/>
        </w:rPr>
        <w:t xml:space="preserve">ck of information about how the Canadian system functions, language </w:t>
      </w:r>
      <w:r w:rsidRPr="00AF1C81">
        <w:rPr>
          <w:color w:val="000000" w:themeColor="text1"/>
        </w:rPr>
        <w:t xml:space="preserve">barriers, limited </w:t>
      </w:r>
      <w:r w:rsidRPr="005C599D">
        <w:rPr>
          <w:color w:val="000000" w:themeColor="text1"/>
        </w:rPr>
        <w:t>access to interpre</w:t>
      </w:r>
      <w:r w:rsidRPr="00AF1C81">
        <w:rPr>
          <w:color w:val="000000" w:themeColor="text1"/>
        </w:rPr>
        <w:t>ters, non-recognition of educational/degree</w:t>
      </w:r>
      <w:r w:rsidRPr="005C599D">
        <w:rPr>
          <w:color w:val="000000" w:themeColor="text1"/>
        </w:rPr>
        <w:t xml:space="preserve"> equivalencies between countries, and lack of culturally relevant placement opportunities. </w:t>
      </w:r>
    </w:p>
    <w:p w14:paraId="01562A16" w14:textId="77777777" w:rsidR="00AF1C81" w:rsidRPr="0061234F" w:rsidRDefault="00AF1C81" w:rsidP="00AF1C81">
      <w:pPr>
        <w:pStyle w:val="ListParagraph"/>
        <w:numPr>
          <w:ilvl w:val="0"/>
          <w:numId w:val="9"/>
        </w:numPr>
        <w:spacing w:line="276" w:lineRule="auto"/>
        <w:rPr>
          <w:color w:val="000000" w:themeColor="text1"/>
        </w:rPr>
      </w:pPr>
      <w:r w:rsidRPr="00AF1C81">
        <w:rPr>
          <w:color w:val="000000" w:themeColor="text1"/>
        </w:rPr>
        <w:t xml:space="preserve">Surveillance of people </w:t>
      </w:r>
      <w:r>
        <w:rPr>
          <w:color w:val="000000" w:themeColor="text1"/>
        </w:rPr>
        <w:t>who</w:t>
      </w:r>
      <w:r w:rsidRPr="009B4A62">
        <w:rPr>
          <w:color w:val="000000" w:themeColor="text1"/>
        </w:rPr>
        <w:t xml:space="preserve"> are in poverty, particularly </w:t>
      </w:r>
      <w:r>
        <w:rPr>
          <w:color w:val="000000" w:themeColor="text1"/>
        </w:rPr>
        <w:t xml:space="preserve">racialized people, </w:t>
      </w:r>
      <w:r w:rsidRPr="00AF1C81">
        <w:rPr>
          <w:color w:val="000000" w:themeColor="text1"/>
        </w:rPr>
        <w:t>by institutional authorities or community members.</w:t>
      </w:r>
    </w:p>
    <w:p w14:paraId="61992E22" w14:textId="77777777" w:rsidR="00AF1C81" w:rsidRPr="009B4A62" w:rsidRDefault="00AF1C81" w:rsidP="00AF1C81">
      <w:pPr>
        <w:pStyle w:val="ListParagraph"/>
        <w:numPr>
          <w:ilvl w:val="0"/>
          <w:numId w:val="9"/>
        </w:numPr>
        <w:spacing w:line="276" w:lineRule="auto"/>
        <w:rPr>
          <w:color w:val="000000" w:themeColor="text1"/>
        </w:rPr>
      </w:pPr>
      <w:r w:rsidRPr="009B4A62">
        <w:rPr>
          <w:color w:val="000000" w:themeColor="text1"/>
        </w:rPr>
        <w:lastRenderedPageBreak/>
        <w:t xml:space="preserve">Social determinants, </w:t>
      </w:r>
      <w:r w:rsidRPr="00AF1C81">
        <w:rPr>
          <w:color w:val="000000" w:themeColor="text1"/>
        </w:rPr>
        <w:t xml:space="preserve">such as inadequacy of housing and lack of income security, which </w:t>
      </w:r>
      <w:r>
        <w:rPr>
          <w:color w:val="000000" w:themeColor="text1"/>
        </w:rPr>
        <w:t xml:space="preserve">may </w:t>
      </w:r>
      <w:r w:rsidRPr="009B4A62">
        <w:rPr>
          <w:color w:val="000000" w:themeColor="text1"/>
        </w:rPr>
        <w:t xml:space="preserve">limit the capacity of parents to regain the necessary stability to return children home from provincial care.  </w:t>
      </w:r>
    </w:p>
    <w:p w14:paraId="08A4A2DD" w14:textId="77777777" w:rsidR="00851E89" w:rsidRPr="00851E89" w:rsidRDefault="00851E89" w:rsidP="00851E89">
      <w:pPr>
        <w:pStyle w:val="ListParagraph"/>
        <w:spacing w:line="276" w:lineRule="auto"/>
        <w:ind w:left="643"/>
        <w:rPr>
          <w:color w:val="000000" w:themeColor="text1"/>
        </w:rPr>
      </w:pPr>
    </w:p>
    <w:p w14:paraId="7541C759" w14:textId="32A11C74" w:rsidR="00092AF7" w:rsidRPr="00375431" w:rsidRDefault="00092AF7" w:rsidP="00092AF7">
      <w:pPr>
        <w:spacing w:line="276" w:lineRule="auto"/>
        <w:rPr>
          <w:b/>
          <w:bCs/>
          <w:color w:val="014AAD"/>
          <w:u w:val="single"/>
        </w:rPr>
      </w:pPr>
      <w:r w:rsidRPr="00375431">
        <w:rPr>
          <w:b/>
          <w:bCs/>
          <w:color w:val="014AAD"/>
          <w:u w:val="single"/>
        </w:rPr>
        <w:t xml:space="preserve">When working with </w:t>
      </w:r>
      <w:r w:rsidR="00AF1C81">
        <w:rPr>
          <w:b/>
          <w:bCs/>
          <w:color w:val="014AAD"/>
          <w:u w:val="single"/>
        </w:rPr>
        <w:t>newcomer</w:t>
      </w:r>
      <w:r w:rsidRPr="00375431">
        <w:rPr>
          <w:b/>
          <w:bCs/>
          <w:color w:val="014AAD"/>
          <w:u w:val="single"/>
        </w:rPr>
        <w:t xml:space="preserve"> families and communities, we recommend…</w:t>
      </w:r>
    </w:p>
    <w:p w14:paraId="370C9FFE" w14:textId="77777777" w:rsidR="00AF1C81" w:rsidRPr="009B4A62" w:rsidRDefault="00AF1C81" w:rsidP="00AF1C81">
      <w:pPr>
        <w:pStyle w:val="ListParagraph"/>
        <w:numPr>
          <w:ilvl w:val="0"/>
          <w:numId w:val="9"/>
        </w:numPr>
        <w:spacing w:line="276" w:lineRule="auto"/>
        <w:rPr>
          <w:color w:val="000000" w:themeColor="text1"/>
        </w:rPr>
      </w:pPr>
      <w:r w:rsidRPr="009B4A62">
        <w:rPr>
          <w:color w:val="000000" w:themeColor="text1"/>
        </w:rPr>
        <w:t xml:space="preserve">Building relationships between organizations and the Department of Community Services </w:t>
      </w:r>
      <w:r>
        <w:rPr>
          <w:color w:val="000000" w:themeColor="text1"/>
        </w:rPr>
        <w:t xml:space="preserve">(DCS) </w:t>
      </w:r>
      <w:r w:rsidRPr="009B4A62">
        <w:rPr>
          <w:color w:val="000000" w:themeColor="text1"/>
        </w:rPr>
        <w:t xml:space="preserve">to coordinate services and improve communication, making it more seamless for families to access resources.  </w:t>
      </w:r>
    </w:p>
    <w:p w14:paraId="7A629AFA" w14:textId="77777777" w:rsidR="00AF1C81" w:rsidRPr="006A441A" w:rsidRDefault="00AF1C81" w:rsidP="00AF1C81">
      <w:pPr>
        <w:pStyle w:val="ListParagraph"/>
        <w:numPr>
          <w:ilvl w:val="0"/>
          <w:numId w:val="9"/>
        </w:numPr>
        <w:spacing w:line="276" w:lineRule="auto"/>
        <w:rPr>
          <w:color w:val="000000" w:themeColor="text1"/>
        </w:rPr>
      </w:pPr>
      <w:r w:rsidRPr="006A441A">
        <w:rPr>
          <w:color w:val="000000" w:themeColor="text1"/>
        </w:rPr>
        <w:t>Set</w:t>
      </w:r>
      <w:r>
        <w:rPr>
          <w:color w:val="000000" w:themeColor="text1"/>
        </w:rPr>
        <w:t>ting</w:t>
      </w:r>
      <w:r w:rsidRPr="006A441A">
        <w:rPr>
          <w:color w:val="000000" w:themeColor="text1"/>
        </w:rPr>
        <w:t xml:space="preserve"> up a connection with </w:t>
      </w:r>
      <w:r>
        <w:rPr>
          <w:color w:val="000000" w:themeColor="text1"/>
        </w:rPr>
        <w:t>DCS</w:t>
      </w:r>
      <w:r w:rsidRPr="006A441A">
        <w:rPr>
          <w:color w:val="000000" w:themeColor="text1"/>
        </w:rPr>
        <w:t xml:space="preserve"> to arrange for an outreach worker that works with community organizations. </w:t>
      </w:r>
      <w:r>
        <w:rPr>
          <w:color w:val="000000" w:themeColor="text1"/>
        </w:rPr>
        <w:t>This role</w:t>
      </w:r>
      <w:r w:rsidRPr="006A441A">
        <w:rPr>
          <w:color w:val="000000" w:themeColor="text1"/>
        </w:rPr>
        <w:t xml:space="preserve"> could include facilitating education, direct </w:t>
      </w:r>
      <w:proofErr w:type="gramStart"/>
      <w:r w:rsidRPr="006A441A">
        <w:rPr>
          <w:color w:val="000000" w:themeColor="text1"/>
        </w:rPr>
        <w:t>contact</w:t>
      </w:r>
      <w:proofErr w:type="gramEnd"/>
      <w:r w:rsidRPr="006A441A">
        <w:rPr>
          <w:color w:val="000000" w:themeColor="text1"/>
        </w:rPr>
        <w:t xml:space="preserve"> and permanent communication with community organizations, facilitating knowledge</w:t>
      </w:r>
      <w:r>
        <w:rPr>
          <w:color w:val="000000" w:themeColor="text1"/>
        </w:rPr>
        <w:t xml:space="preserve"> exchange, and engaging in </w:t>
      </w:r>
      <w:r w:rsidRPr="00AF1C81">
        <w:rPr>
          <w:color w:val="000000" w:themeColor="text1"/>
        </w:rPr>
        <w:t xml:space="preserve">additional </w:t>
      </w:r>
      <w:r w:rsidRPr="006A441A">
        <w:rPr>
          <w:color w:val="000000" w:themeColor="text1"/>
        </w:rPr>
        <w:t xml:space="preserve">preventive work. </w:t>
      </w:r>
    </w:p>
    <w:p w14:paraId="33E06281" w14:textId="77777777" w:rsidR="00AF1C81" w:rsidRDefault="00AF1C81" w:rsidP="00AF1C81">
      <w:pPr>
        <w:pStyle w:val="ListParagraph"/>
        <w:numPr>
          <w:ilvl w:val="0"/>
          <w:numId w:val="9"/>
        </w:numPr>
        <w:spacing w:line="276" w:lineRule="auto"/>
        <w:rPr>
          <w:color w:val="000000" w:themeColor="text1"/>
        </w:rPr>
      </w:pPr>
      <w:r>
        <w:rPr>
          <w:color w:val="000000" w:themeColor="text1"/>
        </w:rPr>
        <w:t>M</w:t>
      </w:r>
      <w:r w:rsidRPr="009B4A62">
        <w:rPr>
          <w:color w:val="000000" w:themeColor="text1"/>
        </w:rPr>
        <w:t xml:space="preserve">andatory cultural safety training as part of the orientation process for </w:t>
      </w:r>
      <w:proofErr w:type="gramStart"/>
      <w:r w:rsidRPr="009B4A62">
        <w:rPr>
          <w:color w:val="000000" w:themeColor="text1"/>
        </w:rPr>
        <w:t>staff</w:t>
      </w:r>
      <w:r>
        <w:rPr>
          <w:color w:val="000000" w:themeColor="text1"/>
        </w:rPr>
        <w:t>, and</w:t>
      </w:r>
      <w:proofErr w:type="gramEnd"/>
      <w:r>
        <w:rPr>
          <w:color w:val="000000" w:themeColor="text1"/>
        </w:rPr>
        <w:t xml:space="preserve"> ensuring greater consistency in internal training of staff on child abuse. </w:t>
      </w:r>
    </w:p>
    <w:p w14:paraId="422FC81A" w14:textId="77777777" w:rsidR="00AF1C81" w:rsidRPr="006A441A" w:rsidRDefault="00AF1C81" w:rsidP="00AF1C81">
      <w:pPr>
        <w:pStyle w:val="ListParagraph"/>
        <w:numPr>
          <w:ilvl w:val="0"/>
          <w:numId w:val="9"/>
        </w:numPr>
        <w:spacing w:line="276" w:lineRule="auto"/>
        <w:rPr>
          <w:color w:val="000000" w:themeColor="text1"/>
        </w:rPr>
      </w:pPr>
      <w:r w:rsidRPr="006A441A">
        <w:rPr>
          <w:color w:val="000000" w:themeColor="text1"/>
        </w:rPr>
        <w:t>Includ</w:t>
      </w:r>
      <w:r>
        <w:rPr>
          <w:color w:val="000000" w:themeColor="text1"/>
        </w:rPr>
        <w:t>ing</w:t>
      </w:r>
      <w:r w:rsidRPr="006A441A">
        <w:rPr>
          <w:color w:val="000000" w:themeColor="text1"/>
        </w:rPr>
        <w:t xml:space="preserve"> religious leaders and community leaders in </w:t>
      </w:r>
      <w:r>
        <w:rPr>
          <w:color w:val="000000" w:themeColor="text1"/>
        </w:rPr>
        <w:t>child welfare discussions</w:t>
      </w:r>
      <w:r w:rsidRPr="006A441A">
        <w:rPr>
          <w:color w:val="000000" w:themeColor="text1"/>
        </w:rPr>
        <w:t xml:space="preserve"> since </w:t>
      </w:r>
      <w:r>
        <w:rPr>
          <w:color w:val="000000" w:themeColor="text1"/>
        </w:rPr>
        <w:t>these leaders are able to</w:t>
      </w:r>
      <w:r w:rsidRPr="006A441A">
        <w:rPr>
          <w:color w:val="000000" w:themeColor="text1"/>
        </w:rPr>
        <w:t xml:space="preserve"> support families</w:t>
      </w:r>
      <w:r>
        <w:rPr>
          <w:color w:val="000000" w:themeColor="text1"/>
        </w:rPr>
        <w:t xml:space="preserve"> in a way that is meaningful and culturally relevant</w:t>
      </w:r>
      <w:r w:rsidRPr="006A441A">
        <w:rPr>
          <w:color w:val="000000" w:themeColor="text1"/>
        </w:rPr>
        <w:t xml:space="preserve">. </w:t>
      </w:r>
    </w:p>
    <w:p w14:paraId="3E1C7419" w14:textId="77777777" w:rsidR="00AF1C81" w:rsidRDefault="00AF1C81" w:rsidP="00AF1C81">
      <w:pPr>
        <w:pStyle w:val="ListParagraph"/>
        <w:numPr>
          <w:ilvl w:val="0"/>
          <w:numId w:val="9"/>
        </w:numPr>
        <w:spacing w:line="276" w:lineRule="auto"/>
        <w:rPr>
          <w:color w:val="000000" w:themeColor="text1"/>
        </w:rPr>
      </w:pPr>
      <w:r w:rsidRPr="006A441A">
        <w:rPr>
          <w:color w:val="000000" w:themeColor="text1"/>
        </w:rPr>
        <w:t xml:space="preserve">Making efforts to </w:t>
      </w:r>
      <w:r w:rsidRPr="00AF1C81">
        <w:rPr>
          <w:color w:val="000000" w:themeColor="text1"/>
        </w:rPr>
        <w:t xml:space="preserve">be non-judgemental and </w:t>
      </w:r>
      <w:r w:rsidRPr="006A441A">
        <w:rPr>
          <w:color w:val="000000" w:themeColor="text1"/>
        </w:rPr>
        <w:t>better understand immigrants from culturally diverse backgrounds and the values and traditions they bring with them.</w:t>
      </w:r>
    </w:p>
    <w:p w14:paraId="649EB713" w14:textId="77777777" w:rsidR="00AF1C81" w:rsidRPr="00B84E82" w:rsidRDefault="00AF1C81" w:rsidP="00AF1C81">
      <w:pPr>
        <w:pStyle w:val="ListParagraph"/>
        <w:numPr>
          <w:ilvl w:val="0"/>
          <w:numId w:val="9"/>
        </w:numPr>
        <w:spacing w:line="276" w:lineRule="auto"/>
        <w:rPr>
          <w:color w:val="000000" w:themeColor="text1"/>
        </w:rPr>
      </w:pPr>
      <w:r w:rsidRPr="00AF1C81">
        <w:rPr>
          <w:color w:val="000000" w:themeColor="text1"/>
        </w:rPr>
        <w:t xml:space="preserve">Offering settlement organizations’ workshops to provide </w:t>
      </w:r>
      <w:r w:rsidRPr="00B84E82">
        <w:rPr>
          <w:color w:val="000000" w:themeColor="text1"/>
        </w:rPr>
        <w:t xml:space="preserve">newcomers with education about family law, support systems and resources in the community. </w:t>
      </w:r>
    </w:p>
    <w:p w14:paraId="37E2457F" w14:textId="77777777" w:rsidR="00AF1C81" w:rsidRPr="006A441A" w:rsidRDefault="00AF1C81" w:rsidP="00AF1C81">
      <w:pPr>
        <w:pStyle w:val="ListParagraph"/>
        <w:numPr>
          <w:ilvl w:val="0"/>
          <w:numId w:val="9"/>
        </w:numPr>
        <w:spacing w:line="276" w:lineRule="auto"/>
        <w:rPr>
          <w:color w:val="000000" w:themeColor="text1"/>
        </w:rPr>
      </w:pPr>
      <w:r w:rsidRPr="006A441A">
        <w:rPr>
          <w:color w:val="000000" w:themeColor="text1"/>
        </w:rPr>
        <w:t xml:space="preserve">Educating newcomers about child abuse </w:t>
      </w:r>
      <w:r>
        <w:rPr>
          <w:color w:val="000000" w:themeColor="text1"/>
        </w:rPr>
        <w:t>under Canadian law and</w:t>
      </w:r>
      <w:r w:rsidRPr="006A441A">
        <w:rPr>
          <w:color w:val="000000" w:themeColor="text1"/>
        </w:rPr>
        <w:t xml:space="preserve"> </w:t>
      </w:r>
      <w:r>
        <w:rPr>
          <w:color w:val="000000" w:themeColor="text1"/>
        </w:rPr>
        <w:t>e</w:t>
      </w:r>
      <w:r w:rsidRPr="006A441A">
        <w:rPr>
          <w:color w:val="000000" w:themeColor="text1"/>
        </w:rPr>
        <w:t>nsuring that there is transparency about the professional duty to report</w:t>
      </w:r>
      <w:r>
        <w:rPr>
          <w:color w:val="000000" w:themeColor="text1"/>
        </w:rPr>
        <w:t>/DCS processes</w:t>
      </w:r>
      <w:r w:rsidRPr="006A441A">
        <w:rPr>
          <w:color w:val="000000" w:themeColor="text1"/>
        </w:rPr>
        <w:t xml:space="preserve">.  </w:t>
      </w:r>
    </w:p>
    <w:p w14:paraId="7E90DAB2" w14:textId="77777777" w:rsidR="00AF1C81" w:rsidRDefault="00AF1C81" w:rsidP="00AF1C81">
      <w:pPr>
        <w:pStyle w:val="ListParagraph"/>
        <w:numPr>
          <w:ilvl w:val="0"/>
          <w:numId w:val="9"/>
        </w:numPr>
        <w:spacing w:line="276" w:lineRule="auto"/>
        <w:rPr>
          <w:color w:val="000000" w:themeColor="text1"/>
        </w:rPr>
      </w:pPr>
      <w:r>
        <w:rPr>
          <w:color w:val="000000" w:themeColor="text1"/>
        </w:rPr>
        <w:t xml:space="preserve">Considering more culturally diverse families for foster care in order to expand access to culturally relevant placements.  This will minimize trauma to children whose connection to their community can be disrupted and who may be traumatized by a placement where the language, customs, and rules are different.  </w:t>
      </w:r>
    </w:p>
    <w:p w14:paraId="1622DC66" w14:textId="77777777" w:rsidR="00AF1C81" w:rsidRDefault="00AF1C81" w:rsidP="00AF1C81">
      <w:pPr>
        <w:pStyle w:val="ListParagraph"/>
        <w:numPr>
          <w:ilvl w:val="0"/>
          <w:numId w:val="9"/>
        </w:numPr>
        <w:spacing w:line="276" w:lineRule="auto"/>
        <w:rPr>
          <w:color w:val="000000" w:themeColor="text1"/>
        </w:rPr>
      </w:pPr>
      <w:r>
        <w:rPr>
          <w:color w:val="000000" w:themeColor="text1"/>
        </w:rPr>
        <w:t xml:space="preserve">Expanding services to address </w:t>
      </w:r>
      <w:r w:rsidRPr="009B4A62">
        <w:rPr>
          <w:color w:val="000000" w:themeColor="text1"/>
        </w:rPr>
        <w:t>st</w:t>
      </w:r>
      <w:r>
        <w:rPr>
          <w:color w:val="000000" w:themeColor="text1"/>
        </w:rPr>
        <w:t xml:space="preserve">ructural factors that </w:t>
      </w:r>
      <w:r w:rsidRPr="00AF1C81">
        <w:rPr>
          <w:color w:val="000000" w:themeColor="text1"/>
        </w:rPr>
        <w:t xml:space="preserve">affect </w:t>
      </w:r>
      <w:r>
        <w:rPr>
          <w:color w:val="000000" w:themeColor="text1"/>
        </w:rPr>
        <w:t>immigrant and refugee</w:t>
      </w:r>
      <w:r w:rsidRPr="009B4A62">
        <w:rPr>
          <w:color w:val="000000" w:themeColor="text1"/>
        </w:rPr>
        <w:t xml:space="preserve"> families in their interactions with child welfare</w:t>
      </w:r>
      <w:r>
        <w:rPr>
          <w:color w:val="000000" w:themeColor="text1"/>
        </w:rPr>
        <w:t xml:space="preserve">.  For example, providing greater access to interpreters, </w:t>
      </w:r>
      <w:r w:rsidRPr="00AF1C81">
        <w:rPr>
          <w:color w:val="000000" w:themeColor="text1"/>
        </w:rPr>
        <w:t xml:space="preserve">accompanying families when </w:t>
      </w:r>
      <w:r>
        <w:rPr>
          <w:color w:val="000000" w:themeColor="text1"/>
        </w:rPr>
        <w:t>attending court hearings, and providing early-intervention services to families that are considered high risk.</w:t>
      </w:r>
    </w:p>
    <w:p w14:paraId="526DE0BD" w14:textId="77777777" w:rsidR="00AF1C81" w:rsidRPr="00AF1C81" w:rsidRDefault="00AF1C81" w:rsidP="00AF1C81">
      <w:pPr>
        <w:pStyle w:val="ListParagraph"/>
        <w:numPr>
          <w:ilvl w:val="0"/>
          <w:numId w:val="9"/>
        </w:numPr>
        <w:spacing w:line="276" w:lineRule="auto"/>
        <w:rPr>
          <w:color w:val="000000" w:themeColor="text1"/>
        </w:rPr>
      </w:pPr>
      <w:r w:rsidRPr="00AF1C81">
        <w:rPr>
          <w:color w:val="000000" w:themeColor="text1"/>
        </w:rPr>
        <w:t>Emphasizing the importance of addressing intersectionality when thinking about protective factors and preventative programming.</w:t>
      </w:r>
      <w:r w:rsidRPr="007410A4">
        <w:rPr>
          <w:color w:val="000000" w:themeColor="text1"/>
        </w:rPr>
        <w:t xml:space="preserve"> </w:t>
      </w:r>
    </w:p>
    <w:p w14:paraId="24187AAA" w14:textId="77777777" w:rsidR="00851E89" w:rsidRDefault="00851E89" w:rsidP="00375431">
      <w:pPr>
        <w:pStyle w:val="Standard"/>
        <w:jc w:val="center"/>
        <w:rPr>
          <w:rFonts w:eastAsia="Times New Roman"/>
          <w:b/>
          <w:bCs/>
          <w:color w:val="014AAD"/>
          <w:u w:val="single"/>
        </w:rPr>
      </w:pPr>
    </w:p>
    <w:p w14:paraId="12B2498C" w14:textId="77777777" w:rsidR="00851E89" w:rsidRDefault="00851E89" w:rsidP="00375431">
      <w:pPr>
        <w:pStyle w:val="Standard"/>
        <w:jc w:val="center"/>
        <w:rPr>
          <w:rFonts w:eastAsia="Times New Roman"/>
          <w:b/>
          <w:bCs/>
          <w:color w:val="014AAD"/>
          <w:u w:val="single"/>
        </w:rPr>
      </w:pPr>
    </w:p>
    <w:p w14:paraId="3E5A35C3" w14:textId="77777777" w:rsidR="00851E89" w:rsidRDefault="00851E89" w:rsidP="00375431">
      <w:pPr>
        <w:pStyle w:val="Standard"/>
        <w:jc w:val="center"/>
        <w:rPr>
          <w:rFonts w:eastAsia="Times New Roman"/>
          <w:b/>
          <w:bCs/>
          <w:color w:val="014AAD"/>
          <w:u w:val="single"/>
        </w:rPr>
      </w:pPr>
    </w:p>
    <w:p w14:paraId="52C7D818" w14:textId="77777777" w:rsidR="00851E89" w:rsidRDefault="00851E89" w:rsidP="00375431">
      <w:pPr>
        <w:pStyle w:val="Standard"/>
        <w:jc w:val="center"/>
        <w:rPr>
          <w:rFonts w:eastAsia="Times New Roman"/>
          <w:b/>
          <w:bCs/>
          <w:color w:val="014AAD"/>
          <w:u w:val="single"/>
        </w:rPr>
      </w:pPr>
    </w:p>
    <w:p w14:paraId="61F91610" w14:textId="77777777" w:rsidR="00851E89" w:rsidRDefault="00851E89" w:rsidP="00851E89">
      <w:pPr>
        <w:pStyle w:val="Standard"/>
        <w:rPr>
          <w:rFonts w:eastAsia="Times New Roman"/>
          <w:b/>
          <w:bCs/>
          <w:color w:val="014AAD"/>
          <w:u w:val="single"/>
        </w:rPr>
      </w:pPr>
    </w:p>
    <w:p w14:paraId="788BE981" w14:textId="77777777" w:rsidR="00851E89" w:rsidRDefault="00851E89" w:rsidP="00851E89">
      <w:pPr>
        <w:pStyle w:val="Standard"/>
        <w:rPr>
          <w:rFonts w:eastAsia="Times New Roman"/>
          <w:b/>
          <w:bCs/>
          <w:color w:val="014AAD"/>
          <w:u w:val="single"/>
        </w:rPr>
      </w:pPr>
    </w:p>
    <w:p w14:paraId="081083EA" w14:textId="2931DA2E" w:rsidR="00092AF7" w:rsidRPr="00375431" w:rsidRDefault="00092AF7" w:rsidP="00375431">
      <w:pPr>
        <w:pStyle w:val="Standard"/>
        <w:jc w:val="center"/>
        <w:rPr>
          <w:rFonts w:eastAsia="Times New Roman"/>
          <w:b/>
          <w:bCs/>
          <w:color w:val="014AAD"/>
          <w:u w:val="single"/>
        </w:rPr>
      </w:pPr>
      <w:r w:rsidRPr="00375431">
        <w:rPr>
          <w:rFonts w:eastAsia="Times New Roman"/>
          <w:b/>
          <w:bCs/>
          <w:color w:val="014AAD"/>
          <w:u w:val="single"/>
        </w:rPr>
        <w:t>Additional Information and Resources:</w:t>
      </w:r>
    </w:p>
    <w:p w14:paraId="54BE1B8A" w14:textId="77777777" w:rsidR="00092AF7" w:rsidRDefault="00092AF7" w:rsidP="00092AF7">
      <w:pPr>
        <w:pStyle w:val="Standard"/>
        <w:ind w:left="360"/>
        <w:jc w:val="center"/>
        <w:rPr>
          <w:rFonts w:eastAsia="Times New Roman"/>
          <w:b/>
          <w:bCs/>
          <w:color w:val="014AAD"/>
        </w:rPr>
      </w:pPr>
    </w:p>
    <w:p w14:paraId="31DA9C29" w14:textId="77777777" w:rsidR="00092AF7" w:rsidRPr="009B4A62" w:rsidRDefault="00092AF7" w:rsidP="00092AF7">
      <w:pPr>
        <w:spacing w:line="276" w:lineRule="auto"/>
        <w:ind w:left="283"/>
        <w:jc w:val="center"/>
      </w:pPr>
      <w:r w:rsidRPr="009B4A62">
        <w:t xml:space="preserve">For more </w:t>
      </w:r>
      <w:proofErr w:type="gramStart"/>
      <w:r w:rsidRPr="009B4A62">
        <w:t>information</w:t>
      </w:r>
      <w:proofErr w:type="gramEnd"/>
      <w:r w:rsidRPr="009B4A62">
        <w:t xml:space="preserve"> please contact us at </w:t>
      </w:r>
      <w:hyperlink r:id="rId9" w:history="1">
        <w:r w:rsidRPr="009B4A62">
          <w:rPr>
            <w:rStyle w:val="Hyperlink"/>
          </w:rPr>
          <w:t>strongcommunities-families@laurentian.ca</w:t>
        </w:r>
      </w:hyperlink>
      <w:r w:rsidRPr="009B4A62">
        <w:t xml:space="preserve"> or </w:t>
      </w:r>
    </w:p>
    <w:p w14:paraId="29DE6A9B" w14:textId="58C164E6" w:rsidR="00092AF7" w:rsidRDefault="00092AF7" w:rsidP="00AF1C81">
      <w:pPr>
        <w:spacing w:line="276" w:lineRule="auto"/>
        <w:ind w:left="283"/>
        <w:jc w:val="center"/>
      </w:pPr>
      <w:r w:rsidRPr="009B4A62">
        <w:t xml:space="preserve">call: </w:t>
      </w:r>
      <w:r w:rsidR="00AF1C81" w:rsidRPr="00AF1C81">
        <w:t>902-494-6693</w:t>
      </w:r>
    </w:p>
    <w:p w14:paraId="0E48B150" w14:textId="77777777" w:rsidR="00AF1C81" w:rsidRDefault="00AF1C81" w:rsidP="00AF1C81">
      <w:pPr>
        <w:spacing w:line="276" w:lineRule="auto"/>
        <w:ind w:left="283"/>
        <w:jc w:val="center"/>
        <w:rPr>
          <w:rFonts w:eastAsia="Times New Roman"/>
          <w:b/>
          <w:bCs/>
          <w:color w:val="014AAD"/>
        </w:rPr>
      </w:pPr>
    </w:p>
    <w:p w14:paraId="56F9F879" w14:textId="55A94A06" w:rsidR="00092AF7" w:rsidRPr="00092AF7" w:rsidRDefault="00092AF7" w:rsidP="00092AF7">
      <w:pPr>
        <w:pStyle w:val="Standard"/>
        <w:ind w:left="360"/>
        <w:rPr>
          <w:color w:val="014AAD"/>
        </w:rPr>
      </w:pPr>
      <w:r w:rsidRPr="00092AF7">
        <w:rPr>
          <w:rFonts w:eastAsia="Times New Roman"/>
          <w:b/>
          <w:bCs/>
          <w:color w:val="014AAD"/>
        </w:rPr>
        <w:t>Other communities overrepresented in the child welfare system…</w:t>
      </w:r>
    </w:p>
    <w:p w14:paraId="4EBE23E8" w14:textId="7B3D0235" w:rsidR="00092AF7" w:rsidRPr="00092AF7" w:rsidRDefault="00092AF7" w:rsidP="00092AF7">
      <w:pPr>
        <w:pStyle w:val="Standard"/>
        <w:numPr>
          <w:ilvl w:val="0"/>
          <w:numId w:val="5"/>
        </w:numPr>
      </w:pPr>
      <w:r w:rsidRPr="00092AF7">
        <w:rPr>
          <w:rFonts w:eastAsia="Times New Roman"/>
          <w:color w:val="000000"/>
        </w:rPr>
        <w:t xml:space="preserve">Are </w:t>
      </w:r>
      <w:r w:rsidR="00851E89">
        <w:rPr>
          <w:rFonts w:eastAsia="Times New Roman"/>
          <w:color w:val="000000"/>
        </w:rPr>
        <w:t>urban Indigenous</w:t>
      </w:r>
      <w:r w:rsidRPr="00092AF7">
        <w:rPr>
          <w:rFonts w:eastAsia="Times New Roman"/>
          <w:color w:val="000000"/>
        </w:rPr>
        <w:t xml:space="preserve"> and </w:t>
      </w:r>
      <w:r w:rsidR="00AF1C81">
        <w:rPr>
          <w:rFonts w:eastAsia="Times New Roman"/>
          <w:color w:val="000000"/>
        </w:rPr>
        <w:t>African Nova Scotian</w:t>
      </w:r>
      <w:r w:rsidRPr="00092AF7">
        <w:rPr>
          <w:rFonts w:eastAsia="Times New Roman"/>
          <w:color w:val="000000"/>
        </w:rPr>
        <w:t xml:space="preserve"> communities, which often face similar challenges to </w:t>
      </w:r>
      <w:r w:rsidR="00AF1C81">
        <w:rPr>
          <w:rFonts w:eastAsia="Times New Roman"/>
          <w:color w:val="000000"/>
        </w:rPr>
        <w:t>newcomer</w:t>
      </w:r>
      <w:r w:rsidRPr="00092AF7">
        <w:rPr>
          <w:rFonts w:eastAsia="Times New Roman"/>
          <w:color w:val="000000"/>
        </w:rPr>
        <w:t xml:space="preserve"> communities here in HRM.</w:t>
      </w:r>
    </w:p>
    <w:p w14:paraId="6F745A70" w14:textId="77777777" w:rsidR="00092AF7" w:rsidRPr="00092AF7" w:rsidRDefault="00092AF7" w:rsidP="00092AF7">
      <w:pPr>
        <w:pStyle w:val="Standard"/>
        <w:numPr>
          <w:ilvl w:val="0"/>
          <w:numId w:val="5"/>
        </w:numPr>
      </w:pPr>
      <w:r w:rsidRPr="00092AF7">
        <w:rPr>
          <w:rFonts w:eastAsia="Times New Roman"/>
          <w:color w:val="000000"/>
        </w:rPr>
        <w:t>Have common strengths of culture as well as close family and community ties.</w:t>
      </w:r>
    </w:p>
    <w:p w14:paraId="5DBE6EC0" w14:textId="77777777" w:rsidR="00092AF7" w:rsidRPr="00092AF7" w:rsidRDefault="00092AF7" w:rsidP="00092AF7">
      <w:pPr>
        <w:pStyle w:val="Standard"/>
        <w:ind w:left="720"/>
      </w:pPr>
    </w:p>
    <w:p w14:paraId="6DABA386" w14:textId="6C096004" w:rsidR="00092AF7" w:rsidRDefault="00092AF7" w:rsidP="00092AF7">
      <w:pPr>
        <w:pStyle w:val="Standard"/>
        <w:jc w:val="center"/>
      </w:pPr>
      <w:r w:rsidRPr="00092AF7">
        <w:rPr>
          <w:rFonts w:eastAsia="Times New Roman"/>
          <w:color w:val="000000"/>
        </w:rPr>
        <w:t xml:space="preserve">Supports and resources are essential to strengthening and keeping </w:t>
      </w:r>
      <w:r w:rsidR="00AF1C81">
        <w:rPr>
          <w:rFonts w:eastAsia="Times New Roman"/>
          <w:color w:val="000000"/>
        </w:rPr>
        <w:t>newcomer</w:t>
      </w:r>
      <w:r w:rsidRPr="00092AF7">
        <w:rPr>
          <w:rFonts w:eastAsia="Times New Roman"/>
          <w:color w:val="000000"/>
        </w:rPr>
        <w:t xml:space="preserve"> families together. You can see the list of </w:t>
      </w:r>
      <w:r>
        <w:rPr>
          <w:rFonts w:eastAsia="Times New Roman"/>
          <w:color w:val="000000"/>
        </w:rPr>
        <w:t xml:space="preserve">resources </w:t>
      </w:r>
      <w:r w:rsidRPr="00092AF7">
        <w:rPr>
          <w:rFonts w:eastAsia="Times New Roman"/>
          <w:color w:val="000000"/>
        </w:rPr>
        <w:t>shared with community members accompanying this infographic.</w:t>
      </w:r>
    </w:p>
    <w:p w14:paraId="6CAD3B78" w14:textId="77777777" w:rsidR="00092AF7" w:rsidRPr="009B4A62" w:rsidRDefault="00092AF7" w:rsidP="00092AF7">
      <w:pPr>
        <w:spacing w:line="276" w:lineRule="auto"/>
      </w:pPr>
    </w:p>
    <w:p w14:paraId="5D72704A" w14:textId="77777777" w:rsidR="00092AF7" w:rsidRDefault="00092AF7" w:rsidP="00092AF7">
      <w:pPr>
        <w:ind w:left="283"/>
        <w:jc w:val="center"/>
        <w:rPr>
          <w:b/>
          <w:bCs/>
        </w:rPr>
      </w:pPr>
    </w:p>
    <w:p w14:paraId="0A4A9CD4" w14:textId="6B14CC17" w:rsidR="00092AF7" w:rsidRDefault="00092AF7" w:rsidP="00092AF7">
      <w:pPr>
        <w:ind w:left="283"/>
        <w:jc w:val="center"/>
      </w:pPr>
      <w:r w:rsidRPr="00B65664">
        <w:rPr>
          <w:b/>
          <w:bCs/>
        </w:rPr>
        <w:t>Source:</w:t>
      </w:r>
      <w:r>
        <w:t xml:space="preserve"> Torres, S., Waldron, I., Ross, N., Metallic, N., Grant, W., </w:t>
      </w:r>
      <w:proofErr w:type="spellStart"/>
      <w:r>
        <w:t>Guasdal</w:t>
      </w:r>
      <w:proofErr w:type="spellEnd"/>
      <w:r>
        <w:t>, W., &amp; Moriah, J. (2022)</w:t>
      </w:r>
    </w:p>
    <w:p w14:paraId="6B6F319A" w14:textId="17E67862" w:rsidR="00092AF7" w:rsidRDefault="00092AF7" w:rsidP="00092AF7">
      <w:pPr>
        <w:ind w:left="283"/>
        <w:jc w:val="center"/>
      </w:pPr>
      <w:r w:rsidRPr="00A535A0">
        <w:rPr>
          <w:i/>
          <w:iCs/>
        </w:rPr>
        <w:t>Examining Protective Factors for Children’s Welfare: The Case of Indigenous, African Nova Scotian &amp; Immigrant and Refugee Children in the Halifax Regional Municipality</w:t>
      </w:r>
      <w:r>
        <w:t>. Laurentian University, Sudbury, Ontario.</w:t>
      </w:r>
    </w:p>
    <w:p w14:paraId="23CED0D1" w14:textId="77777777" w:rsidR="00092AF7" w:rsidRDefault="00092AF7" w:rsidP="00092AF7">
      <w:pPr>
        <w:ind w:left="283"/>
        <w:jc w:val="center"/>
      </w:pPr>
    </w:p>
    <w:p w14:paraId="502D9CBE" w14:textId="77777777" w:rsidR="00092AF7" w:rsidRDefault="00092AF7" w:rsidP="00092AF7">
      <w:pPr>
        <w:ind w:left="283"/>
        <w:jc w:val="center"/>
      </w:pPr>
      <w:r>
        <w:rPr>
          <w:b/>
          <w:bCs/>
        </w:rPr>
        <w:t>Project Purpose</w:t>
      </w:r>
      <w:r w:rsidRPr="00A535A0">
        <w:rPr>
          <w:b/>
          <w:bCs/>
        </w:rPr>
        <w:t>:</w:t>
      </w:r>
      <w:r>
        <w:t xml:space="preserve"> </w:t>
      </w:r>
      <w:r w:rsidRPr="00A535A0">
        <w:t xml:space="preserve">To identify support systems and strategies to strengthen the capacity of families from </w:t>
      </w:r>
      <w:r>
        <w:t xml:space="preserve">urban </w:t>
      </w:r>
      <w:r w:rsidRPr="00A535A0">
        <w:t>Indigenous</w:t>
      </w:r>
      <w:r>
        <w:t xml:space="preserve">, African Nova Scotian, </w:t>
      </w:r>
      <w:proofErr w:type="gramStart"/>
      <w:r>
        <w:t>i</w:t>
      </w:r>
      <w:r w:rsidRPr="00A535A0">
        <w:t>mmigrant</w:t>
      </w:r>
      <w:proofErr w:type="gramEnd"/>
      <w:r>
        <w:t xml:space="preserve"> and r</w:t>
      </w:r>
      <w:r w:rsidRPr="00A535A0">
        <w:t>efugee populations in the Halifax Regional Municipality to mobilize communities to prevent the entry or re-entry of children into provincial care.</w:t>
      </w:r>
    </w:p>
    <w:p w14:paraId="00E3156C" w14:textId="77777777" w:rsidR="00092AF7" w:rsidRDefault="00092AF7" w:rsidP="00092AF7">
      <w:pPr>
        <w:ind w:left="283"/>
        <w:jc w:val="center"/>
      </w:pPr>
    </w:p>
    <w:p w14:paraId="22B96F08" w14:textId="77777777" w:rsidR="00092AF7" w:rsidRDefault="00092AF7" w:rsidP="00092AF7">
      <w:pPr>
        <w:spacing w:line="276" w:lineRule="auto"/>
        <w:ind w:left="283"/>
        <w:jc w:val="center"/>
      </w:pPr>
    </w:p>
    <w:p w14:paraId="0A1FE534" w14:textId="77777777" w:rsidR="00AF1C81" w:rsidRPr="009B4A62" w:rsidRDefault="00AF1C81" w:rsidP="00AF1C81">
      <w:pPr>
        <w:spacing w:line="276" w:lineRule="auto"/>
        <w:ind w:left="283"/>
        <w:jc w:val="center"/>
      </w:pPr>
    </w:p>
    <w:p w14:paraId="04A8A4C5" w14:textId="77777777" w:rsidR="00AF1C81" w:rsidRDefault="00AF1C81" w:rsidP="00AF1C81">
      <w:pPr>
        <w:spacing w:line="276" w:lineRule="auto"/>
        <w:rPr>
          <w:sz w:val="21"/>
          <w:szCs w:val="21"/>
        </w:rPr>
      </w:pPr>
      <w:r w:rsidRPr="009B4A62">
        <w:rPr>
          <w:sz w:val="21"/>
          <w:szCs w:val="21"/>
          <w:vertAlign w:val="superscript"/>
        </w:rPr>
        <w:t xml:space="preserve">1 </w:t>
      </w:r>
      <w:r w:rsidRPr="009B4A62">
        <w:rPr>
          <w:sz w:val="21"/>
          <w:szCs w:val="21"/>
        </w:rPr>
        <w:t>Nova Scotia Collage of Social Workers (2021)</w:t>
      </w:r>
      <w:r w:rsidRPr="009B4A62">
        <w:rPr>
          <w:i/>
          <w:iCs/>
          <w:sz w:val="21"/>
          <w:szCs w:val="21"/>
        </w:rPr>
        <w:t>.  Children and Family Services Act: 4-Year Review.</w:t>
      </w:r>
      <w:r w:rsidRPr="009B4A62">
        <w:rPr>
          <w:sz w:val="21"/>
          <w:szCs w:val="21"/>
        </w:rPr>
        <w:t xml:space="preserve"> </w:t>
      </w:r>
      <w:hyperlink r:id="rId10" w:history="1">
        <w:r w:rsidRPr="009B4A62">
          <w:rPr>
            <w:rStyle w:val="Hyperlink"/>
            <w:sz w:val="21"/>
            <w:szCs w:val="21"/>
          </w:rPr>
          <w:t>https://nscsw.org/wp-content/uploads/2021/03/CFSA-Review-Submission-Final.pdf</w:t>
        </w:r>
      </w:hyperlink>
      <w:r w:rsidRPr="009B4A62">
        <w:rPr>
          <w:sz w:val="21"/>
          <w:szCs w:val="21"/>
        </w:rPr>
        <w:t xml:space="preserve"> </w:t>
      </w:r>
    </w:p>
    <w:p w14:paraId="54C5BD1E" w14:textId="77777777" w:rsidR="00AF1C81" w:rsidRPr="00D36C74" w:rsidRDefault="00AF1C81" w:rsidP="00AF1C81">
      <w:pPr>
        <w:spacing w:line="276" w:lineRule="auto"/>
        <w:rPr>
          <w:i/>
          <w:iCs/>
          <w:sz w:val="21"/>
          <w:szCs w:val="21"/>
        </w:rPr>
      </w:pPr>
      <w:r w:rsidRPr="006A441A">
        <w:rPr>
          <w:sz w:val="21"/>
          <w:szCs w:val="21"/>
          <w:vertAlign w:val="superscript"/>
        </w:rPr>
        <w:t>2</w:t>
      </w:r>
      <w:r w:rsidRPr="006A441A">
        <w:t xml:space="preserve"> </w:t>
      </w:r>
      <w:r w:rsidRPr="006A441A">
        <w:rPr>
          <w:sz w:val="21"/>
          <w:szCs w:val="21"/>
        </w:rPr>
        <w:t xml:space="preserve">Waldron, I.R.G. (2013). </w:t>
      </w:r>
      <w:r w:rsidRPr="0091036F">
        <w:rPr>
          <w:i/>
          <w:iCs/>
          <w:sz w:val="21"/>
          <w:szCs w:val="21"/>
        </w:rPr>
        <w:t>The social &amp; policy implications of meaningful community engagement in racialized immigrant communities in Halifax.</w:t>
      </w:r>
      <w:r w:rsidRPr="006A441A">
        <w:rPr>
          <w:sz w:val="21"/>
          <w:szCs w:val="21"/>
        </w:rPr>
        <w:t xml:space="preserve"> Report submitted to Atlantic Metropolis Centre ~ Working Paper Series. Halifax: Dalhousie University.</w:t>
      </w:r>
    </w:p>
    <w:p w14:paraId="58729641" w14:textId="77777777" w:rsidR="00851E89" w:rsidRDefault="00851E89" w:rsidP="00851E89">
      <w:pPr>
        <w:jc w:val="center"/>
        <w:rPr>
          <w:rFonts w:ascii="Calibri" w:hAnsi="Calibri" w:cs="Calibri"/>
          <w:b/>
          <w:bCs/>
          <w:color w:val="014AAD"/>
          <w:sz w:val="36"/>
          <w:szCs w:val="36"/>
        </w:rPr>
      </w:pPr>
    </w:p>
    <w:p w14:paraId="4283E887" w14:textId="77777777" w:rsidR="00851E89" w:rsidRDefault="00851E89" w:rsidP="00851E89">
      <w:pPr>
        <w:jc w:val="center"/>
        <w:rPr>
          <w:rFonts w:ascii="Calibri" w:hAnsi="Calibri" w:cs="Calibri"/>
          <w:b/>
          <w:bCs/>
          <w:color w:val="014AAD"/>
          <w:sz w:val="36"/>
          <w:szCs w:val="36"/>
        </w:rPr>
      </w:pPr>
    </w:p>
    <w:p w14:paraId="11C50A22" w14:textId="77777777" w:rsidR="00851E89" w:rsidRDefault="00851E89" w:rsidP="00851E89">
      <w:pPr>
        <w:jc w:val="center"/>
        <w:rPr>
          <w:rFonts w:ascii="Calibri" w:hAnsi="Calibri" w:cs="Calibri"/>
          <w:b/>
          <w:bCs/>
          <w:color w:val="014AAD"/>
          <w:sz w:val="36"/>
          <w:szCs w:val="36"/>
        </w:rPr>
      </w:pPr>
    </w:p>
    <w:p w14:paraId="765AD581" w14:textId="77777777" w:rsidR="00851E89" w:rsidRDefault="00851E89" w:rsidP="00851E89">
      <w:pPr>
        <w:jc w:val="center"/>
        <w:rPr>
          <w:rFonts w:ascii="Calibri" w:hAnsi="Calibri" w:cs="Calibri"/>
          <w:b/>
          <w:bCs/>
          <w:color w:val="014AAD"/>
          <w:sz w:val="36"/>
          <w:szCs w:val="36"/>
        </w:rPr>
      </w:pPr>
    </w:p>
    <w:p w14:paraId="28F8E79E" w14:textId="77777777" w:rsidR="00851E89" w:rsidRDefault="00851E89" w:rsidP="00851E89">
      <w:pPr>
        <w:jc w:val="center"/>
        <w:rPr>
          <w:rFonts w:ascii="Calibri" w:hAnsi="Calibri" w:cs="Calibri"/>
          <w:b/>
          <w:bCs/>
          <w:color w:val="014AAD"/>
          <w:sz w:val="36"/>
          <w:szCs w:val="36"/>
        </w:rPr>
      </w:pPr>
    </w:p>
    <w:p w14:paraId="2199E69F" w14:textId="77777777" w:rsidR="00851E89" w:rsidRDefault="00851E89" w:rsidP="00851E89">
      <w:pPr>
        <w:rPr>
          <w:rFonts w:ascii="Calibri" w:hAnsi="Calibri" w:cs="Calibri"/>
          <w:b/>
          <w:bCs/>
          <w:color w:val="014AAD"/>
          <w:sz w:val="36"/>
          <w:szCs w:val="36"/>
        </w:rPr>
      </w:pPr>
    </w:p>
    <w:p w14:paraId="6611538A" w14:textId="28512C21" w:rsidR="00851E89" w:rsidRPr="00851E89" w:rsidRDefault="00AF1C81" w:rsidP="00851E89">
      <w:pPr>
        <w:jc w:val="center"/>
        <w:rPr>
          <w:rFonts w:ascii="Calibri" w:hAnsi="Calibri" w:cs="Calibri"/>
          <w:b/>
          <w:bCs/>
          <w:color w:val="014AAD"/>
          <w:sz w:val="36"/>
          <w:szCs w:val="36"/>
        </w:rPr>
      </w:pPr>
      <w:r>
        <w:rPr>
          <w:rFonts w:ascii="Calibri" w:hAnsi="Calibri" w:cs="Calibri"/>
          <w:b/>
          <w:bCs/>
          <w:color w:val="014AAD"/>
          <w:sz w:val="36"/>
          <w:szCs w:val="36"/>
        </w:rPr>
        <w:lastRenderedPageBreak/>
        <w:t>Immigrant and Refugee</w:t>
      </w:r>
      <w:r w:rsidR="00851E89">
        <w:rPr>
          <w:rFonts w:ascii="Calibri" w:hAnsi="Calibri" w:cs="Calibri"/>
          <w:b/>
          <w:bCs/>
          <w:color w:val="014AAD"/>
          <w:sz w:val="36"/>
          <w:szCs w:val="36"/>
        </w:rPr>
        <w:t xml:space="preserve"> Community</w:t>
      </w:r>
      <w:r w:rsidR="00851E89" w:rsidRPr="00851E89">
        <w:rPr>
          <w:rFonts w:ascii="Calibri" w:hAnsi="Calibri" w:cs="Calibri"/>
          <w:b/>
          <w:bCs/>
          <w:color w:val="014AAD"/>
          <w:sz w:val="36"/>
          <w:szCs w:val="36"/>
        </w:rPr>
        <w:t xml:space="preserve"> Resource List:</w:t>
      </w:r>
    </w:p>
    <w:p w14:paraId="1AD608A8" w14:textId="77777777" w:rsidR="00851E89" w:rsidRPr="00851E89" w:rsidRDefault="00851E89" w:rsidP="00851E89">
      <w:pPr>
        <w:jc w:val="center"/>
        <w:rPr>
          <w:rFonts w:ascii="Calibri" w:hAnsi="Calibri" w:cs="Calibri"/>
          <w:b/>
          <w:bCs/>
          <w:color w:val="000000" w:themeColor="text1"/>
          <w:sz w:val="36"/>
          <w:szCs w:val="36"/>
        </w:rPr>
      </w:pPr>
    </w:p>
    <w:tbl>
      <w:tblPr>
        <w:tblW w:w="10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3168"/>
        <w:gridCol w:w="2065"/>
        <w:gridCol w:w="3167"/>
      </w:tblGrid>
      <w:tr w:rsidR="006A2E0D" w:rsidRPr="00851E89" w14:paraId="755FAEC1" w14:textId="77777777" w:rsidTr="00851E89">
        <w:trPr>
          <w:trHeight w:val="196"/>
          <w:jc w:val="center"/>
        </w:trPr>
        <w:tc>
          <w:tcPr>
            <w:tcW w:w="2479" w:type="dxa"/>
          </w:tcPr>
          <w:p w14:paraId="6F80CFCB" w14:textId="15AFAD3F" w:rsidR="006A2E0D" w:rsidRPr="00851E89" w:rsidRDefault="006A2E0D" w:rsidP="006A2E0D">
            <w:pPr>
              <w:rPr>
                <w:b/>
                <w:bCs/>
                <w:sz w:val="21"/>
                <w:szCs w:val="21"/>
              </w:rPr>
            </w:pPr>
            <w:r w:rsidRPr="00F85565">
              <w:rPr>
                <w:b/>
                <w:bCs/>
                <w:sz w:val="21"/>
                <w:szCs w:val="21"/>
              </w:rPr>
              <w:t xml:space="preserve">Organization Name </w:t>
            </w:r>
          </w:p>
        </w:tc>
        <w:tc>
          <w:tcPr>
            <w:tcW w:w="3168" w:type="dxa"/>
          </w:tcPr>
          <w:p w14:paraId="3BB085FF" w14:textId="0ABACCB7" w:rsidR="006A2E0D" w:rsidRPr="00851E89" w:rsidRDefault="006A2E0D" w:rsidP="006A2E0D">
            <w:pPr>
              <w:rPr>
                <w:b/>
                <w:bCs/>
                <w:sz w:val="21"/>
                <w:szCs w:val="21"/>
              </w:rPr>
            </w:pPr>
            <w:r w:rsidRPr="00F85565">
              <w:rPr>
                <w:b/>
                <w:bCs/>
                <w:sz w:val="21"/>
                <w:szCs w:val="21"/>
              </w:rPr>
              <w:t>Programming Offered</w:t>
            </w:r>
          </w:p>
        </w:tc>
        <w:tc>
          <w:tcPr>
            <w:tcW w:w="2065" w:type="dxa"/>
          </w:tcPr>
          <w:p w14:paraId="7E116D29" w14:textId="7842E50D" w:rsidR="006A2E0D" w:rsidRPr="00851E89" w:rsidRDefault="006A2E0D" w:rsidP="006A2E0D">
            <w:pPr>
              <w:rPr>
                <w:b/>
                <w:bCs/>
                <w:sz w:val="21"/>
                <w:szCs w:val="21"/>
              </w:rPr>
            </w:pPr>
            <w:r w:rsidRPr="00F85565">
              <w:rPr>
                <w:b/>
                <w:bCs/>
                <w:sz w:val="21"/>
                <w:szCs w:val="21"/>
              </w:rPr>
              <w:t>Location</w:t>
            </w:r>
          </w:p>
        </w:tc>
        <w:tc>
          <w:tcPr>
            <w:tcW w:w="3167" w:type="dxa"/>
          </w:tcPr>
          <w:p w14:paraId="7D95C2D0" w14:textId="4F5DECA8" w:rsidR="006A2E0D" w:rsidRPr="00851E89" w:rsidRDefault="006A2E0D" w:rsidP="006A2E0D">
            <w:pPr>
              <w:rPr>
                <w:b/>
                <w:bCs/>
                <w:sz w:val="21"/>
                <w:szCs w:val="21"/>
              </w:rPr>
            </w:pPr>
            <w:r w:rsidRPr="00F85565">
              <w:rPr>
                <w:b/>
                <w:bCs/>
                <w:sz w:val="21"/>
                <w:szCs w:val="21"/>
              </w:rPr>
              <w:t>Contact</w:t>
            </w:r>
          </w:p>
        </w:tc>
      </w:tr>
      <w:tr w:rsidR="006A2E0D" w:rsidRPr="00851E89" w14:paraId="2BBAF57A" w14:textId="77777777" w:rsidTr="00851E89">
        <w:trPr>
          <w:trHeight w:val="432"/>
          <w:jc w:val="center"/>
        </w:trPr>
        <w:tc>
          <w:tcPr>
            <w:tcW w:w="2479" w:type="dxa"/>
          </w:tcPr>
          <w:p w14:paraId="72C0126E" w14:textId="5C496F3D" w:rsidR="006A2E0D" w:rsidRPr="00851E89" w:rsidRDefault="006A2E0D" w:rsidP="006A2E0D">
            <w:pPr>
              <w:rPr>
                <w:sz w:val="18"/>
                <w:szCs w:val="18"/>
              </w:rPr>
            </w:pPr>
            <w:r w:rsidRPr="00F85565">
              <w:rPr>
                <w:sz w:val="21"/>
                <w:szCs w:val="21"/>
              </w:rPr>
              <w:t>Afghan Society of Halifax</w:t>
            </w:r>
          </w:p>
        </w:tc>
        <w:tc>
          <w:tcPr>
            <w:tcW w:w="3168" w:type="dxa"/>
          </w:tcPr>
          <w:p w14:paraId="4D8FEA97" w14:textId="34A3CFCD" w:rsidR="006A2E0D" w:rsidRPr="00851E89" w:rsidRDefault="006A2E0D" w:rsidP="006A2E0D">
            <w:pPr>
              <w:rPr>
                <w:sz w:val="18"/>
                <w:szCs w:val="18"/>
              </w:rPr>
            </w:pPr>
            <w:r w:rsidRPr="00F85565">
              <w:rPr>
                <w:sz w:val="21"/>
                <w:szCs w:val="21"/>
              </w:rPr>
              <w:t>Children’s programming, cultural events, supporting the 265 Afghan newcomers that arrived to Halifax in December, 2021</w:t>
            </w:r>
          </w:p>
        </w:tc>
        <w:tc>
          <w:tcPr>
            <w:tcW w:w="2065" w:type="dxa"/>
          </w:tcPr>
          <w:p w14:paraId="25277A99" w14:textId="24EFD7EC" w:rsidR="006A2E0D" w:rsidRPr="00851E89" w:rsidRDefault="006A2E0D" w:rsidP="006A2E0D">
            <w:pPr>
              <w:rPr>
                <w:sz w:val="18"/>
                <w:szCs w:val="18"/>
              </w:rPr>
            </w:pPr>
            <w:r w:rsidRPr="00F85565">
              <w:rPr>
                <w:sz w:val="21"/>
                <w:szCs w:val="21"/>
              </w:rPr>
              <w:t>21 Inspector Ct., Halifax</w:t>
            </w:r>
          </w:p>
        </w:tc>
        <w:tc>
          <w:tcPr>
            <w:tcW w:w="3167" w:type="dxa"/>
          </w:tcPr>
          <w:p w14:paraId="203B2F22" w14:textId="77777777" w:rsidR="006A2E0D" w:rsidRPr="00F85565" w:rsidRDefault="006A2E0D" w:rsidP="006A2E0D">
            <w:pPr>
              <w:rPr>
                <w:sz w:val="21"/>
                <w:szCs w:val="21"/>
              </w:rPr>
            </w:pPr>
            <w:r w:rsidRPr="00F85565">
              <w:rPr>
                <w:sz w:val="21"/>
                <w:szCs w:val="21"/>
              </w:rPr>
              <w:t>902-406-0404</w:t>
            </w:r>
          </w:p>
          <w:p w14:paraId="1BFF49B2" w14:textId="198C003F" w:rsidR="006A2E0D" w:rsidRPr="00851E89" w:rsidRDefault="00717117" w:rsidP="006A2E0D">
            <w:pPr>
              <w:rPr>
                <w:sz w:val="18"/>
                <w:szCs w:val="18"/>
              </w:rPr>
            </w:pPr>
            <w:hyperlink r:id="rId11">
              <w:r w:rsidR="006A2E0D" w:rsidRPr="00F85565">
                <w:rPr>
                  <w:color w:val="0563C1"/>
                  <w:sz w:val="21"/>
                  <w:szCs w:val="21"/>
                  <w:u w:val="single"/>
                </w:rPr>
                <w:t>afghansocietyofhalifax.ns@gmail.com</w:t>
              </w:r>
            </w:hyperlink>
            <w:r w:rsidR="006A2E0D" w:rsidRPr="00F85565">
              <w:rPr>
                <w:sz w:val="21"/>
                <w:szCs w:val="21"/>
              </w:rPr>
              <w:t xml:space="preserve"> </w:t>
            </w:r>
          </w:p>
        </w:tc>
      </w:tr>
      <w:tr w:rsidR="006A2E0D" w:rsidRPr="00851E89" w14:paraId="648AEFFD" w14:textId="77777777" w:rsidTr="00851E89">
        <w:trPr>
          <w:trHeight w:val="628"/>
          <w:jc w:val="center"/>
        </w:trPr>
        <w:tc>
          <w:tcPr>
            <w:tcW w:w="2479" w:type="dxa"/>
          </w:tcPr>
          <w:p w14:paraId="3890364E" w14:textId="2AF24302" w:rsidR="006A2E0D" w:rsidRPr="00851E89" w:rsidRDefault="006A2E0D" w:rsidP="006A2E0D">
            <w:pPr>
              <w:rPr>
                <w:sz w:val="18"/>
                <w:szCs w:val="18"/>
              </w:rPr>
            </w:pPr>
            <w:r w:rsidRPr="00F85565">
              <w:rPr>
                <w:sz w:val="21"/>
                <w:szCs w:val="21"/>
              </w:rPr>
              <w:t>African Diaspora Association of the Maritimes</w:t>
            </w:r>
          </w:p>
        </w:tc>
        <w:tc>
          <w:tcPr>
            <w:tcW w:w="3168" w:type="dxa"/>
          </w:tcPr>
          <w:p w14:paraId="0F802182" w14:textId="73ADF02C" w:rsidR="006A2E0D" w:rsidRPr="00851E89" w:rsidRDefault="006A2E0D" w:rsidP="006A2E0D">
            <w:pPr>
              <w:rPr>
                <w:sz w:val="18"/>
                <w:szCs w:val="18"/>
              </w:rPr>
            </w:pPr>
            <w:r w:rsidRPr="00F85565">
              <w:rPr>
                <w:sz w:val="21"/>
                <w:szCs w:val="21"/>
              </w:rPr>
              <w:t>Food bank, community connections.</w:t>
            </w:r>
          </w:p>
        </w:tc>
        <w:tc>
          <w:tcPr>
            <w:tcW w:w="2065" w:type="dxa"/>
          </w:tcPr>
          <w:p w14:paraId="233580F0" w14:textId="72E3BC58" w:rsidR="006A2E0D" w:rsidRPr="00851E89" w:rsidRDefault="006A2E0D" w:rsidP="006A2E0D">
            <w:pPr>
              <w:rPr>
                <w:sz w:val="18"/>
                <w:szCs w:val="18"/>
              </w:rPr>
            </w:pPr>
            <w:r w:rsidRPr="00F85565">
              <w:rPr>
                <w:sz w:val="21"/>
                <w:szCs w:val="21"/>
              </w:rPr>
              <w:t>2625 Joseph Howe Drive, Halifax</w:t>
            </w:r>
          </w:p>
        </w:tc>
        <w:tc>
          <w:tcPr>
            <w:tcW w:w="3167" w:type="dxa"/>
          </w:tcPr>
          <w:p w14:paraId="5E545698" w14:textId="25BD7F9F" w:rsidR="006A2E0D" w:rsidRPr="00851E89" w:rsidRDefault="00717117" w:rsidP="006A2E0D">
            <w:pPr>
              <w:rPr>
                <w:sz w:val="18"/>
                <w:szCs w:val="18"/>
              </w:rPr>
            </w:pPr>
            <w:hyperlink r:id="rId12">
              <w:r w:rsidR="006A2E0D" w:rsidRPr="00F85565">
                <w:rPr>
                  <w:color w:val="0563C1"/>
                  <w:sz w:val="21"/>
                  <w:szCs w:val="21"/>
                  <w:u w:val="single"/>
                </w:rPr>
                <w:t>info@africandiasporaassociationof-themartitimes.ca</w:t>
              </w:r>
            </w:hyperlink>
            <w:r w:rsidR="006A2E0D" w:rsidRPr="00F85565">
              <w:rPr>
                <w:sz w:val="21"/>
                <w:szCs w:val="21"/>
              </w:rPr>
              <w:t xml:space="preserve"> </w:t>
            </w:r>
          </w:p>
        </w:tc>
      </w:tr>
      <w:tr w:rsidR="006A2E0D" w:rsidRPr="00851E89" w14:paraId="34CF932B" w14:textId="77777777" w:rsidTr="00851E89">
        <w:trPr>
          <w:trHeight w:val="648"/>
          <w:jc w:val="center"/>
        </w:trPr>
        <w:tc>
          <w:tcPr>
            <w:tcW w:w="2479" w:type="dxa"/>
          </w:tcPr>
          <w:p w14:paraId="4125B6E5" w14:textId="2DC56E43" w:rsidR="006A2E0D" w:rsidRPr="00851E89" w:rsidRDefault="006A2E0D" w:rsidP="006A2E0D">
            <w:pPr>
              <w:rPr>
                <w:sz w:val="18"/>
                <w:szCs w:val="18"/>
              </w:rPr>
            </w:pPr>
            <w:proofErr w:type="spellStart"/>
            <w:r w:rsidRPr="00F85565">
              <w:rPr>
                <w:sz w:val="21"/>
                <w:szCs w:val="21"/>
              </w:rPr>
              <w:t>Bayers</w:t>
            </w:r>
            <w:proofErr w:type="spellEnd"/>
            <w:r w:rsidRPr="00F85565">
              <w:rPr>
                <w:sz w:val="21"/>
                <w:szCs w:val="21"/>
              </w:rPr>
              <w:t>/Westwood Family Support Services</w:t>
            </w:r>
          </w:p>
        </w:tc>
        <w:tc>
          <w:tcPr>
            <w:tcW w:w="3168" w:type="dxa"/>
          </w:tcPr>
          <w:p w14:paraId="5EE63DF1" w14:textId="1CAF65CC" w:rsidR="006A2E0D" w:rsidRPr="00851E89" w:rsidRDefault="006A2E0D" w:rsidP="006A2E0D">
            <w:pPr>
              <w:rPr>
                <w:sz w:val="18"/>
                <w:szCs w:val="18"/>
              </w:rPr>
            </w:pPr>
            <w:r w:rsidRPr="00F85565">
              <w:rPr>
                <w:sz w:val="21"/>
                <w:szCs w:val="21"/>
              </w:rPr>
              <w:t xml:space="preserve">Drop-in </w:t>
            </w:r>
            <w:r>
              <w:rPr>
                <w:sz w:val="21"/>
                <w:szCs w:val="21"/>
              </w:rPr>
              <w:t>activities</w:t>
            </w:r>
            <w:r w:rsidRPr="00F85565">
              <w:rPr>
                <w:sz w:val="21"/>
                <w:szCs w:val="21"/>
              </w:rPr>
              <w:t>, family support, language programs</w:t>
            </w:r>
          </w:p>
        </w:tc>
        <w:tc>
          <w:tcPr>
            <w:tcW w:w="2065" w:type="dxa"/>
          </w:tcPr>
          <w:p w14:paraId="40D19456" w14:textId="4934B28E" w:rsidR="006A2E0D" w:rsidRPr="00851E89" w:rsidRDefault="006A2E0D" w:rsidP="006A2E0D">
            <w:pPr>
              <w:rPr>
                <w:sz w:val="18"/>
                <w:szCs w:val="18"/>
              </w:rPr>
            </w:pPr>
            <w:r w:rsidRPr="00F85565">
              <w:rPr>
                <w:sz w:val="21"/>
                <w:szCs w:val="21"/>
              </w:rPr>
              <w:t>3499 McAlpine Ave, Halifax</w:t>
            </w:r>
          </w:p>
        </w:tc>
        <w:tc>
          <w:tcPr>
            <w:tcW w:w="3167" w:type="dxa"/>
          </w:tcPr>
          <w:p w14:paraId="2680C342" w14:textId="05B2C3A3" w:rsidR="006A2E0D" w:rsidRPr="00851E89" w:rsidRDefault="006A2E0D" w:rsidP="006A2E0D">
            <w:pPr>
              <w:rPr>
                <w:sz w:val="18"/>
                <w:szCs w:val="18"/>
              </w:rPr>
            </w:pPr>
            <w:r w:rsidRPr="00F85565">
              <w:rPr>
                <w:sz w:val="21"/>
                <w:szCs w:val="21"/>
              </w:rPr>
              <w:t xml:space="preserve">(902) 454-9444 </w:t>
            </w:r>
          </w:p>
        </w:tc>
      </w:tr>
      <w:tr w:rsidR="006A2E0D" w:rsidRPr="00851E89" w14:paraId="2DAD8445" w14:textId="77777777" w:rsidTr="00851E89">
        <w:trPr>
          <w:trHeight w:val="628"/>
          <w:jc w:val="center"/>
        </w:trPr>
        <w:tc>
          <w:tcPr>
            <w:tcW w:w="2479" w:type="dxa"/>
          </w:tcPr>
          <w:p w14:paraId="30909861" w14:textId="3607F3B8" w:rsidR="006A2E0D" w:rsidRPr="00851E89" w:rsidRDefault="006A2E0D" w:rsidP="006A2E0D">
            <w:pPr>
              <w:rPr>
                <w:sz w:val="18"/>
                <w:szCs w:val="18"/>
              </w:rPr>
            </w:pPr>
            <w:r w:rsidRPr="00F85565">
              <w:rPr>
                <w:sz w:val="21"/>
                <w:szCs w:val="21"/>
              </w:rPr>
              <w:t>Canadian Lebanon Society of Halifax</w:t>
            </w:r>
          </w:p>
        </w:tc>
        <w:tc>
          <w:tcPr>
            <w:tcW w:w="3168" w:type="dxa"/>
          </w:tcPr>
          <w:p w14:paraId="36328739" w14:textId="116EC7A5" w:rsidR="006A2E0D" w:rsidRPr="00851E89" w:rsidRDefault="006A2E0D" w:rsidP="006A2E0D">
            <w:pPr>
              <w:rPr>
                <w:sz w:val="18"/>
                <w:szCs w:val="18"/>
              </w:rPr>
            </w:pPr>
            <w:r w:rsidRPr="00F85565">
              <w:rPr>
                <w:sz w:val="21"/>
                <w:szCs w:val="21"/>
              </w:rPr>
              <w:t>Networking, social events, etc.</w:t>
            </w:r>
          </w:p>
        </w:tc>
        <w:tc>
          <w:tcPr>
            <w:tcW w:w="2065" w:type="dxa"/>
          </w:tcPr>
          <w:p w14:paraId="3116768D" w14:textId="78D126A4" w:rsidR="006A2E0D" w:rsidRPr="00851E89" w:rsidRDefault="006A2E0D" w:rsidP="006A2E0D">
            <w:pPr>
              <w:rPr>
                <w:sz w:val="18"/>
                <w:szCs w:val="18"/>
              </w:rPr>
            </w:pPr>
            <w:r w:rsidRPr="00F85565">
              <w:rPr>
                <w:sz w:val="21"/>
                <w:szCs w:val="21"/>
              </w:rPr>
              <w:t>255 Bedford Hwy, Halifax</w:t>
            </w:r>
          </w:p>
        </w:tc>
        <w:tc>
          <w:tcPr>
            <w:tcW w:w="3167" w:type="dxa"/>
          </w:tcPr>
          <w:p w14:paraId="0AC465D5" w14:textId="77777777" w:rsidR="006A2E0D" w:rsidRPr="00F85565" w:rsidRDefault="006A2E0D" w:rsidP="006A2E0D">
            <w:pPr>
              <w:rPr>
                <w:sz w:val="21"/>
                <w:szCs w:val="21"/>
              </w:rPr>
            </w:pPr>
            <w:r w:rsidRPr="00F85565">
              <w:rPr>
                <w:sz w:val="21"/>
                <w:szCs w:val="21"/>
              </w:rPr>
              <w:t>902-444-4257</w:t>
            </w:r>
          </w:p>
          <w:p w14:paraId="3DD4F450" w14:textId="2B83406C" w:rsidR="006A2E0D" w:rsidRPr="00851E89" w:rsidRDefault="006A2E0D" w:rsidP="006A2E0D">
            <w:pPr>
              <w:rPr>
                <w:sz w:val="18"/>
                <w:szCs w:val="18"/>
              </w:rPr>
            </w:pPr>
            <w:r w:rsidRPr="00F85565">
              <w:rPr>
                <w:sz w:val="21"/>
                <w:szCs w:val="21"/>
              </w:rPr>
              <w:t>info@canadianlebanonsociety.ca</w:t>
            </w:r>
          </w:p>
        </w:tc>
      </w:tr>
      <w:tr w:rsidR="006A2E0D" w:rsidRPr="00851E89" w14:paraId="25115D36" w14:textId="77777777" w:rsidTr="00851E89">
        <w:trPr>
          <w:trHeight w:val="432"/>
          <w:jc w:val="center"/>
        </w:trPr>
        <w:tc>
          <w:tcPr>
            <w:tcW w:w="2479" w:type="dxa"/>
          </w:tcPr>
          <w:p w14:paraId="54814B94" w14:textId="654B30DF" w:rsidR="006A2E0D" w:rsidRPr="00851E89" w:rsidRDefault="006A2E0D" w:rsidP="006A2E0D">
            <w:pPr>
              <w:rPr>
                <w:sz w:val="18"/>
                <w:szCs w:val="18"/>
              </w:rPr>
            </w:pPr>
            <w:proofErr w:type="spellStart"/>
            <w:r w:rsidRPr="00F85565">
              <w:rPr>
                <w:sz w:val="21"/>
                <w:szCs w:val="21"/>
              </w:rPr>
              <w:t>Chebucto</w:t>
            </w:r>
            <w:proofErr w:type="spellEnd"/>
            <w:r w:rsidRPr="00F85565">
              <w:rPr>
                <w:sz w:val="21"/>
                <w:szCs w:val="21"/>
              </w:rPr>
              <w:t xml:space="preserve"> Family Centre</w:t>
            </w:r>
          </w:p>
        </w:tc>
        <w:tc>
          <w:tcPr>
            <w:tcW w:w="3168" w:type="dxa"/>
          </w:tcPr>
          <w:p w14:paraId="7F3D439B" w14:textId="3439591C" w:rsidR="006A2E0D" w:rsidRPr="00851E89" w:rsidRDefault="006A2E0D" w:rsidP="006A2E0D">
            <w:pPr>
              <w:rPr>
                <w:sz w:val="18"/>
                <w:szCs w:val="18"/>
              </w:rPr>
            </w:pPr>
            <w:r w:rsidRPr="00F85565">
              <w:rPr>
                <w:sz w:val="21"/>
                <w:szCs w:val="21"/>
              </w:rPr>
              <w:t xml:space="preserve">Parenting support, child programs, etc. </w:t>
            </w:r>
          </w:p>
        </w:tc>
        <w:tc>
          <w:tcPr>
            <w:tcW w:w="2065" w:type="dxa"/>
          </w:tcPr>
          <w:p w14:paraId="6C577F27" w14:textId="3421E006" w:rsidR="006A2E0D" w:rsidRPr="00851E89" w:rsidRDefault="006A2E0D" w:rsidP="006A2E0D">
            <w:pPr>
              <w:rPr>
                <w:sz w:val="18"/>
                <w:szCs w:val="18"/>
              </w:rPr>
            </w:pPr>
            <w:r w:rsidRPr="00F85565">
              <w:rPr>
                <w:sz w:val="21"/>
                <w:szCs w:val="21"/>
              </w:rPr>
              <w:t>3 Sylvia Av, Halifax</w:t>
            </w:r>
          </w:p>
        </w:tc>
        <w:tc>
          <w:tcPr>
            <w:tcW w:w="3167" w:type="dxa"/>
          </w:tcPr>
          <w:p w14:paraId="2362EC56" w14:textId="129C24D1" w:rsidR="006A2E0D" w:rsidRPr="00851E89" w:rsidRDefault="006A2E0D" w:rsidP="006A2E0D">
            <w:pPr>
              <w:rPr>
                <w:sz w:val="18"/>
                <w:szCs w:val="18"/>
              </w:rPr>
            </w:pPr>
            <w:r w:rsidRPr="00F85565">
              <w:rPr>
                <w:sz w:val="21"/>
                <w:szCs w:val="21"/>
              </w:rPr>
              <w:t>(902) 479-3031</w:t>
            </w:r>
          </w:p>
        </w:tc>
      </w:tr>
      <w:tr w:rsidR="006A2E0D" w:rsidRPr="00851E89" w14:paraId="31ABD560" w14:textId="77777777" w:rsidTr="00851E89">
        <w:trPr>
          <w:trHeight w:val="628"/>
          <w:jc w:val="center"/>
        </w:trPr>
        <w:tc>
          <w:tcPr>
            <w:tcW w:w="2479" w:type="dxa"/>
          </w:tcPr>
          <w:p w14:paraId="33877595" w14:textId="0B3D2937" w:rsidR="006A2E0D" w:rsidRPr="00851E89" w:rsidRDefault="006A2E0D" w:rsidP="006A2E0D">
            <w:pPr>
              <w:rPr>
                <w:sz w:val="18"/>
                <w:szCs w:val="18"/>
              </w:rPr>
            </w:pPr>
            <w:r w:rsidRPr="00F85565">
              <w:rPr>
                <w:sz w:val="21"/>
                <w:szCs w:val="21"/>
              </w:rPr>
              <w:t>Generation 1 Leadership Initiative</w:t>
            </w:r>
          </w:p>
        </w:tc>
        <w:tc>
          <w:tcPr>
            <w:tcW w:w="3168" w:type="dxa"/>
          </w:tcPr>
          <w:p w14:paraId="6EB6A693" w14:textId="1F70D0AD" w:rsidR="006A2E0D" w:rsidRPr="00851E89" w:rsidRDefault="006A2E0D" w:rsidP="006A2E0D">
            <w:pPr>
              <w:rPr>
                <w:sz w:val="18"/>
                <w:szCs w:val="18"/>
              </w:rPr>
            </w:pPr>
            <w:r w:rsidRPr="00F85565">
              <w:rPr>
                <w:sz w:val="21"/>
                <w:szCs w:val="21"/>
              </w:rPr>
              <w:t>Youth leadership opportunities, STEAM education, cultural awareness</w:t>
            </w:r>
          </w:p>
        </w:tc>
        <w:tc>
          <w:tcPr>
            <w:tcW w:w="2065" w:type="dxa"/>
          </w:tcPr>
          <w:p w14:paraId="7021403F" w14:textId="615FFFA5" w:rsidR="006A2E0D" w:rsidRPr="00851E89" w:rsidRDefault="006A2E0D" w:rsidP="006A2E0D">
            <w:pPr>
              <w:rPr>
                <w:sz w:val="18"/>
                <w:szCs w:val="18"/>
              </w:rPr>
            </w:pPr>
            <w:r w:rsidRPr="00F85565">
              <w:rPr>
                <w:sz w:val="21"/>
                <w:szCs w:val="21"/>
              </w:rPr>
              <w:t>n/a</w:t>
            </w:r>
          </w:p>
        </w:tc>
        <w:tc>
          <w:tcPr>
            <w:tcW w:w="3167" w:type="dxa"/>
          </w:tcPr>
          <w:p w14:paraId="1510697E" w14:textId="220B93E6" w:rsidR="006A2E0D" w:rsidRPr="00851E89" w:rsidRDefault="00717117" w:rsidP="006A2E0D">
            <w:pPr>
              <w:rPr>
                <w:sz w:val="18"/>
                <w:szCs w:val="18"/>
              </w:rPr>
            </w:pPr>
            <w:hyperlink r:id="rId13">
              <w:r w:rsidR="006A2E0D" w:rsidRPr="00F85565">
                <w:rPr>
                  <w:color w:val="0563C1"/>
                  <w:sz w:val="21"/>
                  <w:szCs w:val="21"/>
                  <w:u w:val="single"/>
                </w:rPr>
                <w:t>generation1leadership@gmail.com</w:t>
              </w:r>
            </w:hyperlink>
            <w:r w:rsidR="006A2E0D" w:rsidRPr="00F85565">
              <w:rPr>
                <w:sz w:val="21"/>
                <w:szCs w:val="21"/>
              </w:rPr>
              <w:t xml:space="preserve"> </w:t>
            </w:r>
          </w:p>
        </w:tc>
      </w:tr>
      <w:tr w:rsidR="006A2E0D" w:rsidRPr="00851E89" w14:paraId="6FAABAD1" w14:textId="77777777" w:rsidTr="00851E89">
        <w:trPr>
          <w:trHeight w:val="648"/>
          <w:jc w:val="center"/>
        </w:trPr>
        <w:tc>
          <w:tcPr>
            <w:tcW w:w="2479" w:type="dxa"/>
          </w:tcPr>
          <w:p w14:paraId="28258C1C" w14:textId="6F470D8A" w:rsidR="006A2E0D" w:rsidRPr="00851E89" w:rsidRDefault="006A2E0D" w:rsidP="006A2E0D">
            <w:pPr>
              <w:rPr>
                <w:sz w:val="18"/>
                <w:szCs w:val="18"/>
              </w:rPr>
            </w:pPr>
            <w:r w:rsidRPr="00F85565">
              <w:rPr>
                <w:sz w:val="21"/>
                <w:szCs w:val="21"/>
              </w:rPr>
              <w:t>Immigration Services Association of Nova Scotia (ISANS)</w:t>
            </w:r>
          </w:p>
        </w:tc>
        <w:tc>
          <w:tcPr>
            <w:tcW w:w="3168" w:type="dxa"/>
          </w:tcPr>
          <w:p w14:paraId="437CC58B" w14:textId="7D49D773" w:rsidR="006A2E0D" w:rsidRPr="00851E89" w:rsidRDefault="006A2E0D" w:rsidP="006A2E0D">
            <w:pPr>
              <w:rPr>
                <w:sz w:val="18"/>
                <w:szCs w:val="18"/>
              </w:rPr>
            </w:pPr>
            <w:r w:rsidRPr="00F85565">
              <w:rPr>
                <w:sz w:val="21"/>
                <w:szCs w:val="21"/>
              </w:rPr>
              <w:t xml:space="preserve">Settlement services, parenting programs, career support </w:t>
            </w:r>
          </w:p>
        </w:tc>
        <w:tc>
          <w:tcPr>
            <w:tcW w:w="2065" w:type="dxa"/>
          </w:tcPr>
          <w:p w14:paraId="24B34841" w14:textId="3E1A878E" w:rsidR="006A2E0D" w:rsidRPr="00851E89" w:rsidRDefault="006A2E0D" w:rsidP="006A2E0D">
            <w:pPr>
              <w:rPr>
                <w:sz w:val="18"/>
                <w:szCs w:val="18"/>
              </w:rPr>
            </w:pPr>
            <w:r w:rsidRPr="00F85565">
              <w:rPr>
                <w:sz w:val="21"/>
                <w:szCs w:val="21"/>
              </w:rPr>
              <w:t>6960 Mumford Rd Suite 2120, Halifax</w:t>
            </w:r>
          </w:p>
        </w:tc>
        <w:tc>
          <w:tcPr>
            <w:tcW w:w="3167" w:type="dxa"/>
          </w:tcPr>
          <w:p w14:paraId="1ACF1C78" w14:textId="77777777" w:rsidR="006A2E0D" w:rsidRPr="00F85565" w:rsidRDefault="006A2E0D" w:rsidP="006A2E0D">
            <w:pPr>
              <w:rPr>
                <w:sz w:val="21"/>
                <w:szCs w:val="21"/>
              </w:rPr>
            </w:pPr>
            <w:r w:rsidRPr="00F85565">
              <w:rPr>
                <w:sz w:val="21"/>
                <w:szCs w:val="21"/>
              </w:rPr>
              <w:t>(902) 423-3607</w:t>
            </w:r>
          </w:p>
          <w:p w14:paraId="5B83F068" w14:textId="1683DED2" w:rsidR="006A2E0D" w:rsidRPr="00851E89" w:rsidRDefault="006A2E0D" w:rsidP="006A2E0D">
            <w:pPr>
              <w:rPr>
                <w:sz w:val="18"/>
                <w:szCs w:val="18"/>
              </w:rPr>
            </w:pPr>
            <w:r w:rsidRPr="00F85565">
              <w:rPr>
                <w:sz w:val="21"/>
                <w:szCs w:val="21"/>
              </w:rPr>
              <w:t>Toll free in Nova Scotia: 1-866-431-6472</w:t>
            </w:r>
          </w:p>
        </w:tc>
      </w:tr>
      <w:tr w:rsidR="006A2E0D" w:rsidRPr="00851E89" w14:paraId="11D44E84" w14:textId="77777777" w:rsidTr="00851E89">
        <w:trPr>
          <w:trHeight w:val="844"/>
          <w:jc w:val="center"/>
        </w:trPr>
        <w:tc>
          <w:tcPr>
            <w:tcW w:w="2479" w:type="dxa"/>
          </w:tcPr>
          <w:p w14:paraId="03CDD97E" w14:textId="3246868A" w:rsidR="006A2E0D" w:rsidRPr="00851E89" w:rsidRDefault="006A2E0D" w:rsidP="006A2E0D">
            <w:pPr>
              <w:rPr>
                <w:sz w:val="18"/>
                <w:szCs w:val="18"/>
              </w:rPr>
            </w:pPr>
            <w:r w:rsidRPr="00F85565">
              <w:rPr>
                <w:sz w:val="21"/>
                <w:szCs w:val="21"/>
              </w:rPr>
              <w:t>Korean Association of Halifax</w:t>
            </w:r>
          </w:p>
        </w:tc>
        <w:tc>
          <w:tcPr>
            <w:tcW w:w="3168" w:type="dxa"/>
          </w:tcPr>
          <w:p w14:paraId="0B1D6A1A" w14:textId="75C876D7" w:rsidR="006A2E0D" w:rsidRPr="00851E89" w:rsidRDefault="006A2E0D" w:rsidP="006A2E0D">
            <w:pPr>
              <w:rPr>
                <w:sz w:val="18"/>
                <w:szCs w:val="18"/>
              </w:rPr>
            </w:pPr>
            <w:r w:rsidRPr="00F85565">
              <w:rPr>
                <w:sz w:val="21"/>
                <w:szCs w:val="21"/>
              </w:rPr>
              <w:t>Networking, exploring job opportunities, making connections, forum, etc.</w:t>
            </w:r>
          </w:p>
        </w:tc>
        <w:tc>
          <w:tcPr>
            <w:tcW w:w="2065" w:type="dxa"/>
          </w:tcPr>
          <w:p w14:paraId="70916557" w14:textId="26840DFE" w:rsidR="006A2E0D" w:rsidRPr="00851E89" w:rsidRDefault="006A2E0D" w:rsidP="006A2E0D">
            <w:pPr>
              <w:rPr>
                <w:sz w:val="18"/>
                <w:szCs w:val="18"/>
              </w:rPr>
            </w:pPr>
            <w:r w:rsidRPr="00F85565">
              <w:rPr>
                <w:sz w:val="21"/>
                <w:szCs w:val="21"/>
              </w:rPr>
              <w:t xml:space="preserve">6249 </w:t>
            </w:r>
            <w:proofErr w:type="spellStart"/>
            <w:r w:rsidRPr="00F85565">
              <w:rPr>
                <w:sz w:val="21"/>
                <w:szCs w:val="21"/>
              </w:rPr>
              <w:t>Quinpool</w:t>
            </w:r>
            <w:proofErr w:type="spellEnd"/>
            <w:r w:rsidRPr="00F85565">
              <w:rPr>
                <w:sz w:val="21"/>
                <w:szCs w:val="21"/>
              </w:rPr>
              <w:t xml:space="preserve"> Rd, Halifax</w:t>
            </w:r>
          </w:p>
        </w:tc>
        <w:tc>
          <w:tcPr>
            <w:tcW w:w="3167" w:type="dxa"/>
          </w:tcPr>
          <w:p w14:paraId="2BC7249C" w14:textId="776B7A09" w:rsidR="006A2E0D" w:rsidRPr="00851E89" w:rsidRDefault="006A2E0D" w:rsidP="006A2E0D">
            <w:pPr>
              <w:rPr>
                <w:sz w:val="18"/>
                <w:szCs w:val="18"/>
              </w:rPr>
            </w:pPr>
            <w:r w:rsidRPr="00F85565">
              <w:rPr>
                <w:sz w:val="21"/>
                <w:szCs w:val="21"/>
              </w:rPr>
              <w:t>representative.korean.of.ns@gmail.com</w:t>
            </w:r>
          </w:p>
        </w:tc>
      </w:tr>
      <w:tr w:rsidR="006A2E0D" w:rsidRPr="00851E89" w14:paraId="689AD848" w14:textId="77777777" w:rsidTr="00851E89">
        <w:trPr>
          <w:trHeight w:val="432"/>
          <w:jc w:val="center"/>
        </w:trPr>
        <w:tc>
          <w:tcPr>
            <w:tcW w:w="2479" w:type="dxa"/>
          </w:tcPr>
          <w:p w14:paraId="18D4C944" w14:textId="30C6EC50" w:rsidR="006A2E0D" w:rsidRPr="00851E89" w:rsidRDefault="006A2E0D" w:rsidP="006A2E0D">
            <w:pPr>
              <w:rPr>
                <w:sz w:val="18"/>
                <w:szCs w:val="18"/>
              </w:rPr>
            </w:pPr>
            <w:proofErr w:type="spellStart"/>
            <w:r w:rsidRPr="00F85565">
              <w:rPr>
                <w:sz w:val="21"/>
                <w:szCs w:val="21"/>
              </w:rPr>
              <w:t>Latispanica</w:t>
            </w:r>
            <w:proofErr w:type="spellEnd"/>
          </w:p>
        </w:tc>
        <w:tc>
          <w:tcPr>
            <w:tcW w:w="3168" w:type="dxa"/>
          </w:tcPr>
          <w:p w14:paraId="3639E8BB" w14:textId="5C2E5E93" w:rsidR="006A2E0D" w:rsidRPr="00851E89" w:rsidRDefault="006A2E0D" w:rsidP="006A2E0D">
            <w:pPr>
              <w:rPr>
                <w:sz w:val="18"/>
                <w:szCs w:val="18"/>
              </w:rPr>
            </w:pPr>
            <w:r w:rsidRPr="00F85565">
              <w:rPr>
                <w:sz w:val="21"/>
                <w:szCs w:val="21"/>
              </w:rPr>
              <w:t>Cultural events, networking.</w:t>
            </w:r>
          </w:p>
        </w:tc>
        <w:tc>
          <w:tcPr>
            <w:tcW w:w="2065" w:type="dxa"/>
          </w:tcPr>
          <w:p w14:paraId="66A21C28" w14:textId="660BF81E" w:rsidR="006A2E0D" w:rsidRPr="00851E89" w:rsidRDefault="006A2E0D" w:rsidP="006A2E0D">
            <w:pPr>
              <w:rPr>
                <w:sz w:val="18"/>
                <w:szCs w:val="18"/>
              </w:rPr>
            </w:pPr>
            <w:r w:rsidRPr="00F85565">
              <w:rPr>
                <w:sz w:val="21"/>
                <w:szCs w:val="21"/>
              </w:rPr>
              <w:t>n/a</w:t>
            </w:r>
          </w:p>
        </w:tc>
        <w:tc>
          <w:tcPr>
            <w:tcW w:w="3167" w:type="dxa"/>
          </w:tcPr>
          <w:p w14:paraId="0622995D" w14:textId="77777777" w:rsidR="006A2E0D" w:rsidRPr="00F85565" w:rsidRDefault="00717117" w:rsidP="006A2E0D">
            <w:pPr>
              <w:rPr>
                <w:sz w:val="21"/>
                <w:szCs w:val="21"/>
              </w:rPr>
            </w:pPr>
            <w:hyperlink r:id="rId14">
              <w:r w:rsidR="006A2E0D" w:rsidRPr="00F85565">
                <w:rPr>
                  <w:color w:val="0563C1"/>
                  <w:sz w:val="21"/>
                  <w:szCs w:val="21"/>
                  <w:u w:val="single"/>
                </w:rPr>
                <w:t>info@latispanica.org</w:t>
              </w:r>
            </w:hyperlink>
          </w:p>
          <w:p w14:paraId="741F1CA5" w14:textId="743A92E7" w:rsidR="006A2E0D" w:rsidRPr="00851E89" w:rsidRDefault="006A2E0D" w:rsidP="006A2E0D">
            <w:pPr>
              <w:rPr>
                <w:sz w:val="18"/>
                <w:szCs w:val="18"/>
              </w:rPr>
            </w:pPr>
          </w:p>
        </w:tc>
      </w:tr>
      <w:tr w:rsidR="006A2E0D" w:rsidRPr="00851E89" w14:paraId="730002FA" w14:textId="77777777" w:rsidTr="00851E89">
        <w:trPr>
          <w:trHeight w:val="628"/>
          <w:jc w:val="center"/>
        </w:trPr>
        <w:tc>
          <w:tcPr>
            <w:tcW w:w="2479" w:type="dxa"/>
          </w:tcPr>
          <w:p w14:paraId="111ACAE5" w14:textId="7862388F" w:rsidR="006A2E0D" w:rsidRPr="00851E89" w:rsidRDefault="006A2E0D" w:rsidP="006A2E0D">
            <w:pPr>
              <w:rPr>
                <w:sz w:val="18"/>
                <w:szCs w:val="18"/>
              </w:rPr>
            </w:pPr>
            <w:r w:rsidRPr="00F85565">
              <w:rPr>
                <w:sz w:val="21"/>
                <w:szCs w:val="21"/>
              </w:rPr>
              <w:t>Nova Scotia Islamic Community Centre</w:t>
            </w:r>
          </w:p>
        </w:tc>
        <w:tc>
          <w:tcPr>
            <w:tcW w:w="3168" w:type="dxa"/>
          </w:tcPr>
          <w:p w14:paraId="4BE68098" w14:textId="6092D831" w:rsidR="006A2E0D" w:rsidRPr="00851E89" w:rsidRDefault="006A2E0D" w:rsidP="006A2E0D">
            <w:pPr>
              <w:rPr>
                <w:sz w:val="18"/>
                <w:szCs w:val="18"/>
              </w:rPr>
            </w:pPr>
            <w:r w:rsidRPr="00F85565">
              <w:rPr>
                <w:sz w:val="21"/>
                <w:szCs w:val="21"/>
              </w:rPr>
              <w:t>Different camps, recreational activities, etc.</w:t>
            </w:r>
          </w:p>
        </w:tc>
        <w:tc>
          <w:tcPr>
            <w:tcW w:w="2065" w:type="dxa"/>
          </w:tcPr>
          <w:p w14:paraId="64E0130B" w14:textId="561A4386" w:rsidR="006A2E0D" w:rsidRPr="00851E89" w:rsidRDefault="006A2E0D" w:rsidP="006A2E0D">
            <w:pPr>
              <w:rPr>
                <w:sz w:val="18"/>
                <w:szCs w:val="18"/>
              </w:rPr>
            </w:pPr>
            <w:r w:rsidRPr="00F85565">
              <w:rPr>
                <w:sz w:val="21"/>
                <w:szCs w:val="21"/>
              </w:rPr>
              <w:t xml:space="preserve">2143 Larry </w:t>
            </w:r>
            <w:proofErr w:type="spellStart"/>
            <w:r w:rsidRPr="00F85565">
              <w:rPr>
                <w:sz w:val="21"/>
                <w:szCs w:val="21"/>
              </w:rPr>
              <w:t>Uteck</w:t>
            </w:r>
            <w:proofErr w:type="spellEnd"/>
            <w:r w:rsidRPr="00F85565">
              <w:rPr>
                <w:sz w:val="21"/>
                <w:szCs w:val="21"/>
              </w:rPr>
              <w:t xml:space="preserve"> Blvd., Bedford</w:t>
            </w:r>
          </w:p>
        </w:tc>
        <w:tc>
          <w:tcPr>
            <w:tcW w:w="3167" w:type="dxa"/>
          </w:tcPr>
          <w:p w14:paraId="489D551B" w14:textId="77777777" w:rsidR="006A2E0D" w:rsidRPr="00F85565" w:rsidRDefault="006A2E0D" w:rsidP="006A2E0D">
            <w:pPr>
              <w:rPr>
                <w:sz w:val="21"/>
                <w:szCs w:val="21"/>
              </w:rPr>
            </w:pPr>
            <w:r w:rsidRPr="00F85565">
              <w:rPr>
                <w:sz w:val="21"/>
                <w:szCs w:val="21"/>
              </w:rPr>
              <w:t>902-832-6300</w:t>
            </w:r>
          </w:p>
          <w:p w14:paraId="69F83B18" w14:textId="56D6B616" w:rsidR="006A2E0D" w:rsidRPr="00851E89" w:rsidRDefault="006A2E0D" w:rsidP="006A2E0D">
            <w:pPr>
              <w:rPr>
                <w:sz w:val="18"/>
                <w:szCs w:val="18"/>
              </w:rPr>
            </w:pPr>
            <w:r w:rsidRPr="00F85565">
              <w:rPr>
                <w:sz w:val="21"/>
                <w:szCs w:val="21"/>
              </w:rPr>
              <w:t>info@nsicc.ca</w:t>
            </w:r>
          </w:p>
        </w:tc>
      </w:tr>
      <w:tr w:rsidR="006A2E0D" w:rsidRPr="00851E89" w14:paraId="600D4647" w14:textId="77777777" w:rsidTr="00851E89">
        <w:trPr>
          <w:trHeight w:val="648"/>
          <w:jc w:val="center"/>
        </w:trPr>
        <w:tc>
          <w:tcPr>
            <w:tcW w:w="2479" w:type="dxa"/>
          </w:tcPr>
          <w:p w14:paraId="41132CC2" w14:textId="562FA95F" w:rsidR="006A2E0D" w:rsidRPr="00851E89" w:rsidRDefault="006A2E0D" w:rsidP="006A2E0D">
            <w:pPr>
              <w:rPr>
                <w:sz w:val="18"/>
                <w:szCs w:val="18"/>
              </w:rPr>
            </w:pPr>
            <w:r w:rsidRPr="00F85565">
              <w:rPr>
                <w:sz w:val="21"/>
                <w:szCs w:val="21"/>
              </w:rPr>
              <w:t>Pakistani Canadian Association of Nova Scotia</w:t>
            </w:r>
          </w:p>
        </w:tc>
        <w:tc>
          <w:tcPr>
            <w:tcW w:w="3168" w:type="dxa"/>
          </w:tcPr>
          <w:p w14:paraId="17A8F222" w14:textId="6E7F59AC" w:rsidR="006A2E0D" w:rsidRPr="00851E89" w:rsidRDefault="006A2E0D" w:rsidP="006A2E0D">
            <w:pPr>
              <w:rPr>
                <w:sz w:val="18"/>
                <w:szCs w:val="18"/>
              </w:rPr>
            </w:pPr>
            <w:r w:rsidRPr="00F85565">
              <w:rPr>
                <w:sz w:val="21"/>
                <w:szCs w:val="21"/>
              </w:rPr>
              <w:t xml:space="preserve">Cultural events, settlement services, </w:t>
            </w:r>
            <w:proofErr w:type="gramStart"/>
            <w:r w:rsidRPr="00F85565">
              <w:rPr>
                <w:sz w:val="21"/>
                <w:szCs w:val="21"/>
              </w:rPr>
              <w:t>music</w:t>
            </w:r>
            <w:proofErr w:type="gramEnd"/>
            <w:r w:rsidRPr="00F85565">
              <w:rPr>
                <w:sz w:val="21"/>
                <w:szCs w:val="21"/>
              </w:rPr>
              <w:t xml:space="preserve"> and recreational programs.</w:t>
            </w:r>
          </w:p>
        </w:tc>
        <w:tc>
          <w:tcPr>
            <w:tcW w:w="2065" w:type="dxa"/>
          </w:tcPr>
          <w:p w14:paraId="38C917BF" w14:textId="638D2C23" w:rsidR="006A2E0D" w:rsidRPr="00851E89" w:rsidRDefault="006A2E0D" w:rsidP="006A2E0D">
            <w:pPr>
              <w:rPr>
                <w:sz w:val="18"/>
                <w:szCs w:val="18"/>
              </w:rPr>
            </w:pPr>
            <w:r w:rsidRPr="00F85565">
              <w:rPr>
                <w:sz w:val="21"/>
                <w:szCs w:val="21"/>
              </w:rPr>
              <w:t>Purdy's Wharf Tower 1100-1959 Upper Water Street, Halifax, NS B3J 3N2</w:t>
            </w:r>
          </w:p>
        </w:tc>
        <w:tc>
          <w:tcPr>
            <w:tcW w:w="3167" w:type="dxa"/>
          </w:tcPr>
          <w:p w14:paraId="39E31EAB" w14:textId="77777777" w:rsidR="006A2E0D" w:rsidRPr="00F85565" w:rsidRDefault="00717117" w:rsidP="006A2E0D">
            <w:pPr>
              <w:rPr>
                <w:sz w:val="21"/>
                <w:szCs w:val="21"/>
              </w:rPr>
            </w:pPr>
            <w:hyperlink r:id="rId15">
              <w:r w:rsidR="006A2E0D" w:rsidRPr="00F85565">
                <w:rPr>
                  <w:color w:val="0563C1"/>
                  <w:sz w:val="21"/>
                  <w:szCs w:val="21"/>
                  <w:u w:val="single"/>
                </w:rPr>
                <w:t>info@pcans.ca</w:t>
              </w:r>
            </w:hyperlink>
          </w:p>
          <w:p w14:paraId="53BBA09B" w14:textId="591C6BCC" w:rsidR="006A2E0D" w:rsidRPr="00851E89" w:rsidRDefault="00717117" w:rsidP="006A2E0D">
            <w:pPr>
              <w:rPr>
                <w:sz w:val="18"/>
                <w:szCs w:val="18"/>
              </w:rPr>
            </w:pPr>
            <w:hyperlink r:id="rId16">
              <w:r w:rsidR="006A2E0D" w:rsidRPr="00F85565">
                <w:rPr>
                  <w:color w:val="0563C1"/>
                  <w:sz w:val="21"/>
                  <w:szCs w:val="21"/>
                  <w:u w:val="single"/>
                </w:rPr>
                <w:t>www.pcans.ca</w:t>
              </w:r>
            </w:hyperlink>
            <w:r w:rsidR="006A2E0D" w:rsidRPr="00F85565">
              <w:rPr>
                <w:sz w:val="21"/>
                <w:szCs w:val="21"/>
              </w:rPr>
              <w:t xml:space="preserve"> </w:t>
            </w:r>
          </w:p>
        </w:tc>
      </w:tr>
      <w:tr w:rsidR="006A2E0D" w:rsidRPr="00851E89" w14:paraId="05C61E4F" w14:textId="77777777" w:rsidTr="00851E89">
        <w:trPr>
          <w:trHeight w:val="628"/>
          <w:jc w:val="center"/>
        </w:trPr>
        <w:tc>
          <w:tcPr>
            <w:tcW w:w="2479" w:type="dxa"/>
          </w:tcPr>
          <w:p w14:paraId="649CA640" w14:textId="32605D9B" w:rsidR="006A2E0D" w:rsidRPr="00851E89" w:rsidRDefault="006A2E0D" w:rsidP="006A2E0D">
            <w:pPr>
              <w:rPr>
                <w:sz w:val="18"/>
                <w:szCs w:val="18"/>
              </w:rPr>
            </w:pPr>
            <w:r w:rsidRPr="00F85565">
              <w:rPr>
                <w:sz w:val="21"/>
                <w:szCs w:val="21"/>
              </w:rPr>
              <w:t>Ummah Masjid and Community Centre</w:t>
            </w:r>
          </w:p>
        </w:tc>
        <w:tc>
          <w:tcPr>
            <w:tcW w:w="3168" w:type="dxa"/>
          </w:tcPr>
          <w:p w14:paraId="68A2C17C" w14:textId="678ECB71" w:rsidR="006A2E0D" w:rsidRPr="00851E89" w:rsidRDefault="006A2E0D" w:rsidP="006A2E0D">
            <w:pPr>
              <w:rPr>
                <w:sz w:val="18"/>
                <w:szCs w:val="18"/>
              </w:rPr>
            </w:pPr>
            <w:r w:rsidRPr="00F85565">
              <w:rPr>
                <w:sz w:val="21"/>
                <w:szCs w:val="21"/>
              </w:rPr>
              <w:t>Youth counselling, family counselling, camps, recreational activities, explore employment opportunities, etc.</w:t>
            </w:r>
          </w:p>
        </w:tc>
        <w:tc>
          <w:tcPr>
            <w:tcW w:w="2065" w:type="dxa"/>
          </w:tcPr>
          <w:p w14:paraId="72A6CD6E" w14:textId="116ABEF8" w:rsidR="006A2E0D" w:rsidRPr="00851E89" w:rsidRDefault="006A2E0D" w:rsidP="006A2E0D">
            <w:pPr>
              <w:rPr>
                <w:sz w:val="18"/>
                <w:szCs w:val="18"/>
              </w:rPr>
            </w:pPr>
            <w:r w:rsidRPr="00F85565">
              <w:rPr>
                <w:sz w:val="21"/>
                <w:szCs w:val="21"/>
              </w:rPr>
              <w:t>2510 St. Matthias St., Halifax</w:t>
            </w:r>
          </w:p>
        </w:tc>
        <w:tc>
          <w:tcPr>
            <w:tcW w:w="3167" w:type="dxa"/>
          </w:tcPr>
          <w:p w14:paraId="472CDFAC" w14:textId="77777777" w:rsidR="006A2E0D" w:rsidRPr="00F85565" w:rsidRDefault="006A2E0D" w:rsidP="006A2E0D">
            <w:pPr>
              <w:rPr>
                <w:sz w:val="21"/>
                <w:szCs w:val="21"/>
              </w:rPr>
            </w:pPr>
            <w:r w:rsidRPr="00F85565">
              <w:rPr>
                <w:sz w:val="21"/>
                <w:szCs w:val="21"/>
              </w:rPr>
              <w:t>902-407-1411</w:t>
            </w:r>
          </w:p>
          <w:p w14:paraId="728F7D48" w14:textId="1F8DB070" w:rsidR="006A2E0D" w:rsidRPr="00851E89" w:rsidRDefault="006A2E0D" w:rsidP="006A2E0D">
            <w:pPr>
              <w:rPr>
                <w:sz w:val="18"/>
                <w:szCs w:val="18"/>
              </w:rPr>
            </w:pPr>
            <w:r w:rsidRPr="00F85565">
              <w:rPr>
                <w:sz w:val="21"/>
                <w:szCs w:val="21"/>
              </w:rPr>
              <w:t>info@umcc.ca</w:t>
            </w:r>
          </w:p>
        </w:tc>
      </w:tr>
      <w:tr w:rsidR="006A2E0D" w:rsidRPr="00851E89" w14:paraId="790078DE" w14:textId="77777777" w:rsidTr="00851E89">
        <w:trPr>
          <w:trHeight w:val="628"/>
          <w:jc w:val="center"/>
        </w:trPr>
        <w:tc>
          <w:tcPr>
            <w:tcW w:w="2479" w:type="dxa"/>
          </w:tcPr>
          <w:p w14:paraId="1C856696" w14:textId="09AD72E9" w:rsidR="006A2E0D" w:rsidRPr="00851E89" w:rsidRDefault="006A2E0D" w:rsidP="006A2E0D">
            <w:pPr>
              <w:rPr>
                <w:sz w:val="18"/>
                <w:szCs w:val="18"/>
              </w:rPr>
            </w:pPr>
            <w:proofErr w:type="spellStart"/>
            <w:r w:rsidRPr="00F85565">
              <w:rPr>
                <w:sz w:val="21"/>
                <w:szCs w:val="21"/>
              </w:rPr>
              <w:t>Veith</w:t>
            </w:r>
            <w:proofErr w:type="spellEnd"/>
            <w:r w:rsidRPr="00F85565">
              <w:rPr>
                <w:sz w:val="21"/>
                <w:szCs w:val="21"/>
              </w:rPr>
              <w:t xml:space="preserve"> House</w:t>
            </w:r>
          </w:p>
        </w:tc>
        <w:tc>
          <w:tcPr>
            <w:tcW w:w="3168" w:type="dxa"/>
          </w:tcPr>
          <w:p w14:paraId="44BD5093" w14:textId="43804409" w:rsidR="006A2E0D" w:rsidRPr="00851E89" w:rsidRDefault="006A2E0D" w:rsidP="006A2E0D">
            <w:pPr>
              <w:rPr>
                <w:sz w:val="18"/>
                <w:szCs w:val="18"/>
              </w:rPr>
            </w:pPr>
            <w:r w:rsidRPr="00F85565">
              <w:rPr>
                <w:sz w:val="21"/>
                <w:szCs w:val="21"/>
              </w:rPr>
              <w:t>Children’s programming, parenting classes, urban community garden, etc.</w:t>
            </w:r>
          </w:p>
        </w:tc>
        <w:tc>
          <w:tcPr>
            <w:tcW w:w="2065" w:type="dxa"/>
          </w:tcPr>
          <w:p w14:paraId="0F5A7A87" w14:textId="76A9C661" w:rsidR="006A2E0D" w:rsidRPr="00851E89" w:rsidRDefault="006A2E0D" w:rsidP="006A2E0D">
            <w:pPr>
              <w:rPr>
                <w:sz w:val="18"/>
                <w:szCs w:val="18"/>
              </w:rPr>
            </w:pPr>
            <w:r w:rsidRPr="00F85565">
              <w:rPr>
                <w:sz w:val="21"/>
                <w:szCs w:val="21"/>
              </w:rPr>
              <w:t xml:space="preserve">3115 </w:t>
            </w:r>
            <w:proofErr w:type="spellStart"/>
            <w:r w:rsidRPr="00F85565">
              <w:rPr>
                <w:sz w:val="21"/>
                <w:szCs w:val="21"/>
              </w:rPr>
              <w:t>Veith</w:t>
            </w:r>
            <w:proofErr w:type="spellEnd"/>
            <w:r w:rsidRPr="00F85565">
              <w:rPr>
                <w:sz w:val="21"/>
                <w:szCs w:val="21"/>
              </w:rPr>
              <w:t xml:space="preserve"> St, Halifax</w:t>
            </w:r>
          </w:p>
        </w:tc>
        <w:tc>
          <w:tcPr>
            <w:tcW w:w="3167" w:type="dxa"/>
          </w:tcPr>
          <w:p w14:paraId="3BBA66A4" w14:textId="6A2C65C1" w:rsidR="006A2E0D" w:rsidRPr="00851E89" w:rsidRDefault="006A2E0D" w:rsidP="006A2E0D">
            <w:pPr>
              <w:rPr>
                <w:sz w:val="18"/>
                <w:szCs w:val="18"/>
              </w:rPr>
            </w:pPr>
            <w:r w:rsidRPr="00F85565">
              <w:rPr>
                <w:sz w:val="21"/>
                <w:szCs w:val="21"/>
              </w:rPr>
              <w:t>902-453-4320</w:t>
            </w:r>
          </w:p>
        </w:tc>
      </w:tr>
    </w:tbl>
    <w:p w14:paraId="44F1135E" w14:textId="77777777" w:rsidR="00092AF7" w:rsidRPr="00092AF7" w:rsidRDefault="00092AF7" w:rsidP="00092AF7">
      <w:pPr>
        <w:rPr>
          <w:rFonts w:ascii="Calibri" w:hAnsi="Calibri" w:cs="Calibri"/>
          <w:color w:val="000000" w:themeColor="text1"/>
        </w:rPr>
      </w:pPr>
    </w:p>
    <w:sectPr w:rsidR="00092AF7" w:rsidRPr="00092AF7" w:rsidSect="00092AF7">
      <w:headerReference w:type="even" r:id="rId17"/>
      <w:headerReference w:type="default" r:id="rId18"/>
      <w:pgSz w:w="12240" w:h="15840"/>
      <w:pgMar w:top="1440" w:right="1440" w:bottom="1440" w:left="1440" w:header="708" w:footer="708" w:gutter="0"/>
      <w:pgBorders w:offsetFrom="page">
        <w:top w:val="single" w:sz="48" w:space="24" w:color="014AAD"/>
        <w:left w:val="single" w:sz="48" w:space="24" w:color="014AAD"/>
        <w:bottom w:val="single" w:sz="48" w:space="24" w:color="014AAD"/>
        <w:right w:val="single" w:sz="48" w:space="24" w:color="014AA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F33A" w14:textId="77777777" w:rsidR="00717117" w:rsidRDefault="00717117" w:rsidP="00092AF7">
      <w:r>
        <w:separator/>
      </w:r>
    </w:p>
  </w:endnote>
  <w:endnote w:type="continuationSeparator" w:id="0">
    <w:p w14:paraId="1A686B21" w14:textId="77777777" w:rsidR="00717117" w:rsidRDefault="00717117" w:rsidP="000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2DEA" w14:textId="77777777" w:rsidR="00717117" w:rsidRDefault="00717117" w:rsidP="00092AF7">
      <w:r>
        <w:separator/>
      </w:r>
    </w:p>
  </w:footnote>
  <w:footnote w:type="continuationSeparator" w:id="0">
    <w:p w14:paraId="78EEC443" w14:textId="77777777" w:rsidR="00717117" w:rsidRDefault="00717117" w:rsidP="000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961062"/>
      <w:docPartObj>
        <w:docPartGallery w:val="Page Numbers (Top of Page)"/>
        <w:docPartUnique/>
      </w:docPartObj>
    </w:sdtPr>
    <w:sdtEndPr>
      <w:rPr>
        <w:rStyle w:val="PageNumber"/>
      </w:rPr>
    </w:sdtEndPr>
    <w:sdtContent>
      <w:p w14:paraId="133DB10B" w14:textId="464F25A3" w:rsidR="00092AF7" w:rsidRDefault="00092AF7" w:rsidP="00ED53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F63A0" w14:textId="77777777" w:rsidR="00092AF7" w:rsidRDefault="00092AF7" w:rsidP="00092A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4643"/>
      <w:docPartObj>
        <w:docPartGallery w:val="Page Numbers (Top of Page)"/>
        <w:docPartUnique/>
      </w:docPartObj>
    </w:sdtPr>
    <w:sdtEndPr>
      <w:rPr>
        <w:rStyle w:val="PageNumber"/>
      </w:rPr>
    </w:sdtEndPr>
    <w:sdtContent>
      <w:p w14:paraId="16F45547" w14:textId="5A40CA14" w:rsidR="00092AF7" w:rsidRDefault="00092AF7" w:rsidP="00092AF7">
        <w:pPr>
          <w:pStyle w:val="Header"/>
          <w:framePr w:wrap="none" w:vAnchor="text" w:hAnchor="page" w:x="11941" w:y="-5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0BD4ED" w14:textId="77777777" w:rsidR="00092AF7" w:rsidRDefault="00092AF7" w:rsidP="00092A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D3F"/>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1569C5"/>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377D74"/>
    <w:multiLevelType w:val="hybridMultilevel"/>
    <w:tmpl w:val="740EC5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453552"/>
    <w:multiLevelType w:val="hybridMultilevel"/>
    <w:tmpl w:val="82927E2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BF5FAF"/>
    <w:multiLevelType w:val="hybridMultilevel"/>
    <w:tmpl w:val="1BA614A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BC1528"/>
    <w:multiLevelType w:val="hybridMultilevel"/>
    <w:tmpl w:val="B66E504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0756A9"/>
    <w:multiLevelType w:val="hybridMultilevel"/>
    <w:tmpl w:val="0A5CEBC8"/>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73123E"/>
    <w:multiLevelType w:val="hybridMultilevel"/>
    <w:tmpl w:val="2056FB8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5A6906"/>
    <w:multiLevelType w:val="multilevel"/>
    <w:tmpl w:val="BCAEF9F0"/>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D8C37B3"/>
    <w:multiLevelType w:val="hybridMultilevel"/>
    <w:tmpl w:val="0A5CEBC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8"/>
  </w:num>
  <w:num w:numId="6">
    <w:abstractNumId w:val="3"/>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F7"/>
    <w:rsid w:val="00010B19"/>
    <w:rsid w:val="00092AF7"/>
    <w:rsid w:val="001826A1"/>
    <w:rsid w:val="001B5B02"/>
    <w:rsid w:val="00375431"/>
    <w:rsid w:val="003B72AE"/>
    <w:rsid w:val="006A2E0D"/>
    <w:rsid w:val="00717117"/>
    <w:rsid w:val="00851E89"/>
    <w:rsid w:val="00A30FC3"/>
    <w:rsid w:val="00AF1C81"/>
    <w:rsid w:val="00D735FE"/>
    <w:rsid w:val="00DA42F8"/>
    <w:rsid w:val="00DC4CEE"/>
    <w:rsid w:val="00E40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A8A5"/>
  <w15:chartTrackingRefBased/>
  <w15:docId w15:val="{88080F6D-5C05-AA48-BE01-659C9A34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F7"/>
    <w:pPr>
      <w:ind w:left="720"/>
      <w:contextualSpacing/>
    </w:pPr>
  </w:style>
  <w:style w:type="character" w:styleId="Hyperlink">
    <w:name w:val="Hyperlink"/>
    <w:basedOn w:val="DefaultParagraphFont"/>
    <w:uiPriority w:val="99"/>
    <w:unhideWhenUsed/>
    <w:rsid w:val="00092AF7"/>
    <w:rPr>
      <w:color w:val="0563C1" w:themeColor="hyperlink"/>
      <w:u w:val="single"/>
    </w:rPr>
  </w:style>
  <w:style w:type="paragraph" w:styleId="Header">
    <w:name w:val="header"/>
    <w:basedOn w:val="Normal"/>
    <w:link w:val="HeaderChar"/>
    <w:uiPriority w:val="99"/>
    <w:unhideWhenUsed/>
    <w:rsid w:val="00092AF7"/>
    <w:pPr>
      <w:tabs>
        <w:tab w:val="center" w:pos="4680"/>
        <w:tab w:val="right" w:pos="9360"/>
      </w:tabs>
    </w:pPr>
  </w:style>
  <w:style w:type="character" w:customStyle="1" w:styleId="HeaderChar">
    <w:name w:val="Header Char"/>
    <w:basedOn w:val="DefaultParagraphFont"/>
    <w:link w:val="Header"/>
    <w:uiPriority w:val="99"/>
    <w:rsid w:val="00092AF7"/>
  </w:style>
  <w:style w:type="character" w:styleId="PageNumber">
    <w:name w:val="page number"/>
    <w:basedOn w:val="DefaultParagraphFont"/>
    <w:uiPriority w:val="99"/>
    <w:semiHidden/>
    <w:unhideWhenUsed/>
    <w:rsid w:val="00092AF7"/>
  </w:style>
  <w:style w:type="paragraph" w:styleId="Footer">
    <w:name w:val="footer"/>
    <w:basedOn w:val="Normal"/>
    <w:link w:val="FooterChar"/>
    <w:uiPriority w:val="99"/>
    <w:unhideWhenUsed/>
    <w:rsid w:val="00092AF7"/>
    <w:pPr>
      <w:tabs>
        <w:tab w:val="center" w:pos="4680"/>
        <w:tab w:val="right" w:pos="9360"/>
      </w:tabs>
    </w:pPr>
  </w:style>
  <w:style w:type="character" w:customStyle="1" w:styleId="FooterChar">
    <w:name w:val="Footer Char"/>
    <w:basedOn w:val="DefaultParagraphFont"/>
    <w:link w:val="Footer"/>
    <w:uiPriority w:val="99"/>
    <w:rsid w:val="00092AF7"/>
  </w:style>
  <w:style w:type="character" w:styleId="FollowedHyperlink">
    <w:name w:val="FollowedHyperlink"/>
    <w:basedOn w:val="DefaultParagraphFont"/>
    <w:uiPriority w:val="99"/>
    <w:semiHidden/>
    <w:unhideWhenUsed/>
    <w:rsid w:val="00092AF7"/>
    <w:rPr>
      <w:color w:val="954F72" w:themeColor="followedHyperlink"/>
      <w:u w:val="single"/>
    </w:rPr>
  </w:style>
  <w:style w:type="paragraph" w:customStyle="1" w:styleId="Standard">
    <w:name w:val="Standard"/>
    <w:rsid w:val="00092AF7"/>
    <w:pPr>
      <w:suppressAutoHyphens/>
      <w:autoSpaceDN w:val="0"/>
      <w:textAlignment w:val="baseline"/>
    </w:pPr>
    <w:rPr>
      <w:rFonts w:ascii="Calibri" w:eastAsia="SimSun" w:hAnsi="Calibri" w:cs="Calibri"/>
      <w:kern w:val="3"/>
    </w:rPr>
  </w:style>
  <w:style w:type="numbering" w:customStyle="1" w:styleId="WWNum10">
    <w:name w:val="WWNum10"/>
    <w:basedOn w:val="NoList"/>
    <w:rsid w:val="00092A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52708">
      <w:bodyDiv w:val="1"/>
      <w:marLeft w:val="0"/>
      <w:marRight w:val="0"/>
      <w:marTop w:val="0"/>
      <w:marBottom w:val="0"/>
      <w:divBdr>
        <w:top w:val="none" w:sz="0" w:space="0" w:color="auto"/>
        <w:left w:val="none" w:sz="0" w:space="0" w:color="auto"/>
        <w:bottom w:val="none" w:sz="0" w:space="0" w:color="auto"/>
        <w:right w:val="none" w:sz="0" w:space="0" w:color="auto"/>
      </w:divBdr>
    </w:div>
    <w:div w:id="1417555309">
      <w:bodyDiv w:val="1"/>
      <w:marLeft w:val="0"/>
      <w:marRight w:val="0"/>
      <w:marTop w:val="0"/>
      <w:marBottom w:val="0"/>
      <w:divBdr>
        <w:top w:val="none" w:sz="0" w:space="0" w:color="auto"/>
        <w:left w:val="none" w:sz="0" w:space="0" w:color="auto"/>
        <w:bottom w:val="none" w:sz="0" w:space="0" w:color="auto"/>
        <w:right w:val="none" w:sz="0" w:space="0" w:color="auto"/>
      </w:divBdr>
    </w:div>
    <w:div w:id="16588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eneration1leadership@g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ricandiasporaassociationof-themartitime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can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ghansocietyofhalifax.ns@gmail.com" TargetMode="External"/><Relationship Id="rId5" Type="http://schemas.openxmlformats.org/officeDocument/2006/relationships/webSettings" Target="webSettings.xml"/><Relationship Id="rId15" Type="http://schemas.openxmlformats.org/officeDocument/2006/relationships/hyperlink" Target="mailto:info@pcans.ca" TargetMode="External"/><Relationship Id="rId10" Type="http://schemas.openxmlformats.org/officeDocument/2006/relationships/hyperlink" Target="https://nscsw.org/wp-content/uploads/2021/03/CFSA-Review-Submission-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ongcommunities-families@laurentian.ca" TargetMode="External"/><Relationship Id="rId14" Type="http://schemas.openxmlformats.org/officeDocument/2006/relationships/hyperlink" Target="mailto:info@latispan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CF82-A83F-BD45-9F19-6820A7D0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Witkowski, Jenica (TSTOR)</dc:creator>
  <cp:keywords/>
  <dc:description/>
  <cp:lastModifiedBy>Witkowski, Jenica (TSTOR)</cp:lastModifiedBy>
  <cp:revision>2</cp:revision>
  <dcterms:created xsi:type="dcterms:W3CDTF">2022-06-22T15:04:00Z</dcterms:created>
  <dcterms:modified xsi:type="dcterms:W3CDTF">2022-06-22T15:04:00Z</dcterms:modified>
</cp:coreProperties>
</file>