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8D0B" w14:textId="465A73F5" w:rsidR="00092AF7" w:rsidRPr="00092AF7" w:rsidRDefault="00D735FE" w:rsidP="00092AF7">
      <w:pPr>
        <w:rPr>
          <w:rFonts w:ascii="Times New Roman" w:eastAsia="Times New Roman" w:hAnsi="Times New Roman" w:cs="Times New Roman"/>
        </w:rPr>
      </w:pPr>
      <w:r w:rsidRPr="00D735FE">
        <w:rPr>
          <w:rFonts w:ascii="Times New Roman" w:eastAsia="Times New Roman" w:hAnsi="Times New Roman" w:cs="Times New Roman"/>
          <w:noProof/>
        </w:rPr>
        <w:drawing>
          <wp:anchor distT="0" distB="0" distL="114300" distR="114300" simplePos="0" relativeHeight="251657215" behindDoc="1" locked="0" layoutInCell="1" allowOverlap="1" wp14:anchorId="3736DD66" wp14:editId="75E5D2AB">
            <wp:simplePos x="0" y="0"/>
            <wp:positionH relativeFrom="column">
              <wp:posOffset>-533400</wp:posOffset>
            </wp:positionH>
            <wp:positionV relativeFrom="paragraph">
              <wp:posOffset>-596899</wp:posOffset>
            </wp:positionV>
            <wp:extent cx="7023100" cy="1473200"/>
            <wp:effectExtent l="0" t="0" r="0" b="0"/>
            <wp:wrapNone/>
            <wp:docPr id="37" name="Picture 36">
              <a:extLst xmlns:a="http://schemas.openxmlformats.org/drawingml/2006/main">
                <a:ext uri="{FF2B5EF4-FFF2-40B4-BE49-F238E27FC236}">
                  <a16:creationId xmlns:a16="http://schemas.microsoft.com/office/drawing/2014/main" id="{76BA87C2-B0D5-6040-8B31-5B1D4D39F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76BA87C2-B0D5-6040-8B31-5B1D4D39FC6B}"/>
                        </a:ext>
                      </a:extLst>
                    </pic:cNvPr>
                    <pic:cNvPicPr>
                      <a:picLocks noChangeAspect="1"/>
                    </pic:cNvPicPr>
                  </pic:nvPicPr>
                  <pic:blipFill rotWithShape="1">
                    <a:blip r:embed="rId8">
                      <a:extLst>
                        <a:ext uri="{28A0092B-C50C-407E-A947-70E740481C1C}">
                          <a14:useLocalDpi xmlns:a14="http://schemas.microsoft.com/office/drawing/2010/main" val="0"/>
                        </a:ext>
                      </a:extLst>
                    </a:blip>
                    <a:srcRect b="9832"/>
                    <a:stretch/>
                  </pic:blipFill>
                  <pic:spPr bwMode="auto">
                    <a:xfrm>
                      <a:off x="0" y="0"/>
                      <a:ext cx="7023100" cy="147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9C707" w14:textId="77777777" w:rsidR="00D735FE" w:rsidRDefault="00D735FE" w:rsidP="00092AF7">
      <w:pPr>
        <w:jc w:val="center"/>
        <w:rPr>
          <w:rFonts w:ascii="Calibri" w:hAnsi="Calibri" w:cs="Calibri"/>
          <w:b/>
          <w:bCs/>
          <w:color w:val="000000" w:themeColor="text1"/>
          <w:sz w:val="36"/>
          <w:szCs w:val="36"/>
        </w:rPr>
      </w:pPr>
    </w:p>
    <w:p w14:paraId="314FEEDD" w14:textId="64A8F2E3" w:rsidR="00D735FE" w:rsidRDefault="00D735FE" w:rsidP="00092AF7">
      <w:pPr>
        <w:jc w:val="center"/>
        <w:rPr>
          <w:rFonts w:ascii="Calibri" w:hAnsi="Calibri" w:cs="Calibri"/>
          <w:b/>
          <w:bCs/>
          <w:color w:val="000000" w:themeColor="text1"/>
          <w:sz w:val="36"/>
          <w:szCs w:val="36"/>
        </w:rPr>
      </w:pPr>
    </w:p>
    <w:p w14:paraId="2AFE7A9B" w14:textId="1FAAE437" w:rsidR="00D735FE" w:rsidRDefault="00D735FE" w:rsidP="00D735FE">
      <w:pPr>
        <w:rPr>
          <w:rFonts w:ascii="Calibri" w:hAnsi="Calibri" w:cs="Calibri"/>
          <w:b/>
          <w:bCs/>
          <w:color w:val="000000" w:themeColor="text1"/>
          <w:sz w:val="36"/>
          <w:szCs w:val="36"/>
        </w:rPr>
      </w:pPr>
    </w:p>
    <w:p w14:paraId="51D8B244" w14:textId="37F94E01" w:rsidR="00092AF7" w:rsidRPr="00092AF7" w:rsidRDefault="00092AF7" w:rsidP="00D735FE">
      <w:pPr>
        <w:jc w:val="center"/>
        <w:rPr>
          <w:rFonts w:ascii="Calibri" w:hAnsi="Calibri" w:cs="Calibri"/>
          <w:b/>
          <w:bCs/>
          <w:color w:val="000000" w:themeColor="text1"/>
          <w:sz w:val="36"/>
          <w:szCs w:val="36"/>
        </w:rPr>
      </w:pPr>
      <w:r w:rsidRPr="00092AF7">
        <w:rPr>
          <w:rFonts w:ascii="Calibri" w:hAnsi="Calibri" w:cs="Calibri"/>
          <w:b/>
          <w:bCs/>
          <w:color w:val="000000" w:themeColor="text1"/>
          <w:sz w:val="36"/>
          <w:szCs w:val="36"/>
        </w:rPr>
        <w:t>Knowledge Mobilization Project:</w:t>
      </w:r>
    </w:p>
    <w:p w14:paraId="777153A0" w14:textId="7D27C260" w:rsidR="00EF45F8" w:rsidRPr="00092AF7" w:rsidRDefault="00092AF7" w:rsidP="00092AF7">
      <w:pPr>
        <w:jc w:val="center"/>
        <w:rPr>
          <w:rFonts w:ascii="Calibri" w:hAnsi="Calibri" w:cs="Calibri"/>
          <w:color w:val="000000" w:themeColor="text1"/>
          <w:sz w:val="36"/>
          <w:szCs w:val="36"/>
        </w:rPr>
      </w:pPr>
      <w:r w:rsidRPr="00092AF7">
        <w:rPr>
          <w:rFonts w:ascii="Calibri" w:hAnsi="Calibri" w:cs="Calibri"/>
          <w:color w:val="000000" w:themeColor="text1"/>
          <w:sz w:val="36"/>
          <w:szCs w:val="36"/>
        </w:rPr>
        <w:t>Information for agencies working with urban Indigenous communities</w:t>
      </w:r>
    </w:p>
    <w:p w14:paraId="7B831EBD" w14:textId="766D28D1" w:rsidR="00092AF7" w:rsidRPr="00092AF7" w:rsidRDefault="00092AF7" w:rsidP="00092AF7">
      <w:pPr>
        <w:rPr>
          <w:rFonts w:ascii="Times New Roman" w:eastAsia="Times New Roman" w:hAnsi="Times New Roman" w:cs="Times New Roman"/>
          <w:sz w:val="22"/>
          <w:szCs w:val="22"/>
        </w:rPr>
      </w:pPr>
      <w:r w:rsidRPr="00092AF7">
        <w:rPr>
          <w:rFonts w:ascii="Times New Roman" w:eastAsia="Times New Roman" w:hAnsi="Times New Roman" w:cs="Times New Roman"/>
          <w:sz w:val="22"/>
          <w:szCs w:val="22"/>
        </w:rPr>
        <w:fldChar w:fldCharType="begin"/>
      </w:r>
      <w:r w:rsidRPr="00092AF7">
        <w:rPr>
          <w:rFonts w:ascii="Times New Roman" w:eastAsia="Times New Roman" w:hAnsi="Times New Roman" w:cs="Times New Roman"/>
          <w:sz w:val="22"/>
          <w:szCs w:val="22"/>
        </w:rPr>
        <w:instrText xml:space="preserve"> INCLUDEPICTURE "https://upload.wikimedia.org/wikipedia/commons/thumb/2/2f/Medicine_Wheel.png/800px-Medicine_Wheel.png" \* MERGEFORMATINET </w:instrText>
      </w:r>
      <w:r w:rsidR="00F83FFB">
        <w:rPr>
          <w:rFonts w:ascii="Times New Roman" w:eastAsia="Times New Roman" w:hAnsi="Times New Roman" w:cs="Times New Roman"/>
          <w:sz w:val="22"/>
          <w:szCs w:val="22"/>
        </w:rPr>
        <w:fldChar w:fldCharType="separate"/>
      </w:r>
      <w:r w:rsidRPr="00092AF7">
        <w:rPr>
          <w:rFonts w:ascii="Times New Roman" w:eastAsia="Times New Roman" w:hAnsi="Times New Roman" w:cs="Times New Roman"/>
          <w:sz w:val="22"/>
          <w:szCs w:val="22"/>
        </w:rPr>
        <w:fldChar w:fldCharType="end"/>
      </w:r>
    </w:p>
    <w:p w14:paraId="19DBCC97" w14:textId="77777777" w:rsidR="00092AF7" w:rsidRPr="00375431" w:rsidRDefault="00092AF7" w:rsidP="00092AF7">
      <w:pPr>
        <w:spacing w:line="276" w:lineRule="auto"/>
        <w:rPr>
          <w:b/>
          <w:bCs/>
          <w:color w:val="014AAD"/>
          <w:u w:val="single"/>
        </w:rPr>
      </w:pPr>
      <w:r w:rsidRPr="00375431">
        <w:rPr>
          <w:b/>
          <w:bCs/>
          <w:color w:val="014AAD"/>
          <w:u w:val="single"/>
        </w:rPr>
        <w:t xml:space="preserve">Did you know that… </w:t>
      </w:r>
    </w:p>
    <w:p w14:paraId="2044791A" w14:textId="77777777" w:rsidR="00092AF7" w:rsidRPr="00A535A0" w:rsidRDefault="00092AF7" w:rsidP="00375431">
      <w:pPr>
        <w:pStyle w:val="ListParagraph"/>
        <w:numPr>
          <w:ilvl w:val="0"/>
          <w:numId w:val="6"/>
        </w:numPr>
        <w:spacing w:line="276" w:lineRule="auto"/>
        <w:rPr>
          <w:color w:val="000000" w:themeColor="text1"/>
        </w:rPr>
      </w:pPr>
      <w:r w:rsidRPr="00A535A0">
        <w:rPr>
          <w:color w:val="000000" w:themeColor="text1"/>
        </w:rPr>
        <w:t>52.2% of children under 14 in child welfare care are Indigenous children, despite representing less than 8% of Canada’s child population</w:t>
      </w:r>
      <w:r w:rsidRPr="00A535A0">
        <w:rPr>
          <w:color w:val="000000" w:themeColor="text1"/>
          <w:vertAlign w:val="superscript"/>
        </w:rPr>
        <w:t>1</w:t>
      </w:r>
      <w:r w:rsidRPr="00A535A0">
        <w:rPr>
          <w:color w:val="000000" w:themeColor="text1"/>
        </w:rPr>
        <w:t xml:space="preserve">.  </w:t>
      </w:r>
    </w:p>
    <w:p w14:paraId="7DE68F6B" w14:textId="77777777" w:rsidR="00092AF7" w:rsidRPr="00A535A0" w:rsidRDefault="00092AF7" w:rsidP="00375431">
      <w:pPr>
        <w:pStyle w:val="ListParagraph"/>
        <w:numPr>
          <w:ilvl w:val="0"/>
          <w:numId w:val="6"/>
        </w:numPr>
        <w:spacing w:line="276" w:lineRule="auto"/>
        <w:rPr>
          <w:color w:val="000000" w:themeColor="text1"/>
        </w:rPr>
      </w:pPr>
      <w:r w:rsidRPr="00A535A0">
        <w:rPr>
          <w:color w:val="000000" w:themeColor="text1"/>
        </w:rPr>
        <w:t xml:space="preserve">The lack of Indigenous representation among health professionals and child welfare workers is a key concern for families in their interactions with the system.  </w:t>
      </w:r>
    </w:p>
    <w:p w14:paraId="1118E5D3" w14:textId="57B99F8E" w:rsidR="00092AF7" w:rsidRPr="00A535A0" w:rsidRDefault="00092AF7" w:rsidP="00375431">
      <w:pPr>
        <w:pStyle w:val="ListParagraph"/>
        <w:numPr>
          <w:ilvl w:val="0"/>
          <w:numId w:val="6"/>
        </w:numPr>
        <w:spacing w:line="276" w:lineRule="auto"/>
        <w:rPr>
          <w:color w:val="000000" w:themeColor="text1"/>
        </w:rPr>
      </w:pPr>
      <w:r w:rsidRPr="00A535A0">
        <w:rPr>
          <w:color w:val="000000" w:themeColor="text1"/>
        </w:rPr>
        <w:t xml:space="preserve">Organizations working with Indigenous families in the urban context create a sense of community and provide a more positive experience for families as they navigate the child welfare system, not only through providing programming needs, but also through relationship building </w:t>
      </w:r>
      <w:r>
        <w:rPr>
          <w:color w:val="000000" w:themeColor="text1"/>
        </w:rPr>
        <w:t>between</w:t>
      </w:r>
      <w:r w:rsidRPr="00A535A0">
        <w:rPr>
          <w:color w:val="000000" w:themeColor="text1"/>
        </w:rPr>
        <w:t xml:space="preserve"> the organization itself and families. </w:t>
      </w:r>
    </w:p>
    <w:p w14:paraId="03357D23" w14:textId="77777777" w:rsidR="00092AF7" w:rsidRPr="00A535A0" w:rsidRDefault="00092AF7" w:rsidP="00375431">
      <w:pPr>
        <w:pStyle w:val="ListParagraph"/>
        <w:numPr>
          <w:ilvl w:val="0"/>
          <w:numId w:val="6"/>
        </w:numPr>
        <w:spacing w:line="276" w:lineRule="auto"/>
        <w:rPr>
          <w:color w:val="000000" w:themeColor="text1"/>
        </w:rPr>
      </w:pPr>
      <w:r w:rsidRPr="00A535A0">
        <w:rPr>
          <w:color w:val="000000" w:themeColor="text1"/>
        </w:rPr>
        <w:t xml:space="preserve">Services that nurture cultural identity and prioritize Indigenous ways of knowing and being are a key protective factor in reducing entry into child welfare settings.  </w:t>
      </w:r>
    </w:p>
    <w:p w14:paraId="360E6502" w14:textId="77777777" w:rsidR="00092AF7" w:rsidRPr="00A535A0" w:rsidRDefault="00092AF7" w:rsidP="00375431">
      <w:pPr>
        <w:pStyle w:val="ListParagraph"/>
        <w:numPr>
          <w:ilvl w:val="0"/>
          <w:numId w:val="6"/>
        </w:numPr>
        <w:spacing w:line="276" w:lineRule="auto"/>
        <w:rPr>
          <w:color w:val="000000" w:themeColor="text1"/>
        </w:rPr>
      </w:pPr>
      <w:r w:rsidRPr="00A535A0">
        <w:rPr>
          <w:color w:val="000000" w:themeColor="text1"/>
        </w:rPr>
        <w:t xml:space="preserve">Community organizations can fill gaps in services for families, especially during times of transition for children moving out of care and back to living with their family members. These services have a profound impact on the success of families in preventing children from re-entering care. </w:t>
      </w:r>
    </w:p>
    <w:p w14:paraId="6145C788" w14:textId="77777777" w:rsidR="00092AF7" w:rsidRPr="00A535A0" w:rsidRDefault="00092AF7" w:rsidP="00375431">
      <w:pPr>
        <w:pStyle w:val="ListParagraph"/>
        <w:numPr>
          <w:ilvl w:val="0"/>
          <w:numId w:val="6"/>
        </w:numPr>
        <w:spacing w:line="276" w:lineRule="auto"/>
        <w:rPr>
          <w:color w:val="000000" w:themeColor="text1"/>
        </w:rPr>
      </w:pPr>
      <w:r w:rsidRPr="00A535A0">
        <w:rPr>
          <w:color w:val="000000" w:themeColor="text1"/>
        </w:rPr>
        <w:t xml:space="preserve">Re-establishing a child and family’s place in the community is an effective treatment method and can also help prevent re-entry into care.  </w:t>
      </w:r>
    </w:p>
    <w:p w14:paraId="4D049A07" w14:textId="77777777" w:rsidR="00092AF7" w:rsidRPr="00A535A0" w:rsidRDefault="00092AF7" w:rsidP="00375431">
      <w:pPr>
        <w:pStyle w:val="ListParagraph"/>
        <w:numPr>
          <w:ilvl w:val="0"/>
          <w:numId w:val="6"/>
        </w:numPr>
        <w:spacing w:line="276" w:lineRule="auto"/>
        <w:rPr>
          <w:color w:val="000000" w:themeColor="text1"/>
        </w:rPr>
      </w:pPr>
      <w:r w:rsidRPr="00A535A0">
        <w:rPr>
          <w:color w:val="000000" w:themeColor="text1"/>
        </w:rPr>
        <w:t>Bill C-92</w:t>
      </w:r>
      <w:r w:rsidRPr="00A535A0">
        <w:rPr>
          <w:color w:val="000000" w:themeColor="text1"/>
          <w:vertAlign w:val="superscript"/>
        </w:rPr>
        <w:t>2</w:t>
      </w:r>
      <w:r w:rsidRPr="00A535A0">
        <w:rPr>
          <w:color w:val="000000" w:themeColor="text1"/>
        </w:rPr>
        <w:t xml:space="preserve"> is the first statute to recognize inherent Indigenous jurisdiction over Child and Family Services (CFS) as an Aboriginal (S.35) right in Canada. As called for in the Truth and Reconciliation Final Report, the statute establishes national minimum standards for CFS delivery for all Indigenous children and families, living on or off reserve.</w:t>
      </w:r>
      <w:r w:rsidRPr="00A535A0">
        <w:rPr>
          <w:rFonts w:ascii="MS Gothic" w:eastAsia="MS Gothic" w:hAnsi="MS Gothic" w:cs="MS Gothic" w:hint="eastAsia"/>
          <w:color w:val="000000" w:themeColor="text1"/>
        </w:rPr>
        <w:t> </w:t>
      </w:r>
    </w:p>
    <w:p w14:paraId="4495CE6B" w14:textId="75149D42" w:rsidR="00092AF7" w:rsidRPr="00375431" w:rsidRDefault="00092AF7" w:rsidP="00092AF7">
      <w:pPr>
        <w:spacing w:line="276" w:lineRule="auto"/>
        <w:rPr>
          <w:b/>
          <w:bCs/>
          <w:color w:val="014AAD"/>
          <w:u w:val="single"/>
        </w:rPr>
      </w:pPr>
      <w:r w:rsidRPr="00375431">
        <w:rPr>
          <w:b/>
          <w:bCs/>
          <w:color w:val="014AAD"/>
          <w:u w:val="single"/>
        </w:rPr>
        <w:t>Indigenous families and communities have supports through…</w:t>
      </w:r>
    </w:p>
    <w:p w14:paraId="421CAA79" w14:textId="77777777" w:rsidR="00092AF7" w:rsidRPr="00A535A0" w:rsidRDefault="00092AF7" w:rsidP="00375431">
      <w:pPr>
        <w:pStyle w:val="ListParagraph"/>
        <w:numPr>
          <w:ilvl w:val="0"/>
          <w:numId w:val="7"/>
        </w:numPr>
        <w:spacing w:line="276" w:lineRule="auto"/>
        <w:rPr>
          <w:color w:val="000000" w:themeColor="text1"/>
        </w:rPr>
      </w:pPr>
      <w:r w:rsidRPr="00A535A0">
        <w:rPr>
          <w:color w:val="000000" w:themeColor="text1"/>
        </w:rPr>
        <w:t>Powerful and long-lasting connections between Indigenous families and their communities, regardless of time spent away or geographic distance.</w:t>
      </w:r>
    </w:p>
    <w:p w14:paraId="60C4C85C" w14:textId="77777777" w:rsidR="00092AF7" w:rsidRPr="00A535A0" w:rsidRDefault="00092AF7" w:rsidP="00375431">
      <w:pPr>
        <w:pStyle w:val="ListParagraph"/>
        <w:numPr>
          <w:ilvl w:val="0"/>
          <w:numId w:val="7"/>
        </w:numPr>
        <w:spacing w:line="276" w:lineRule="auto"/>
        <w:rPr>
          <w:color w:val="000000" w:themeColor="text1"/>
        </w:rPr>
      </w:pPr>
      <w:r w:rsidRPr="00A535A0">
        <w:rPr>
          <w:color w:val="000000" w:themeColor="text1"/>
        </w:rPr>
        <w:t xml:space="preserve">A definition of health and wellbeing that takes into consideration an individual’s sense of belonging, contribution to the collective and social cohesion.  A healthy sense of communal identity is attainable through the deeply rooted ancestral practices, such as visiting, social gatherings, </w:t>
      </w:r>
      <w:proofErr w:type="gramStart"/>
      <w:r w:rsidRPr="00A535A0">
        <w:rPr>
          <w:color w:val="000000" w:themeColor="text1"/>
        </w:rPr>
        <w:t>potlucks</w:t>
      </w:r>
      <w:proofErr w:type="gramEnd"/>
      <w:r w:rsidRPr="00A535A0">
        <w:rPr>
          <w:color w:val="000000" w:themeColor="text1"/>
        </w:rPr>
        <w:t xml:space="preserve"> and ceremonies. </w:t>
      </w:r>
    </w:p>
    <w:p w14:paraId="1DC28D27" w14:textId="029B3320" w:rsidR="00092AF7" w:rsidRPr="00092AF7" w:rsidRDefault="00092AF7" w:rsidP="00375431">
      <w:pPr>
        <w:pStyle w:val="ListParagraph"/>
        <w:numPr>
          <w:ilvl w:val="0"/>
          <w:numId w:val="7"/>
        </w:numPr>
        <w:spacing w:line="276" w:lineRule="auto"/>
        <w:rPr>
          <w:color w:val="000000" w:themeColor="text1"/>
        </w:rPr>
      </w:pPr>
      <w:r w:rsidRPr="00A535A0">
        <w:rPr>
          <w:color w:val="000000" w:themeColor="text1"/>
        </w:rPr>
        <w:lastRenderedPageBreak/>
        <w:t xml:space="preserve">Indigenous epistemologies, ancestral concepts, and ways of knowing the </w:t>
      </w:r>
      <w:proofErr w:type="gramStart"/>
      <w:r w:rsidRPr="00A535A0">
        <w:rPr>
          <w:color w:val="000000" w:themeColor="text1"/>
        </w:rPr>
        <w:t>world</w:t>
      </w:r>
      <w:proofErr w:type="gramEnd"/>
      <w:r w:rsidRPr="00A535A0">
        <w:rPr>
          <w:color w:val="000000" w:themeColor="text1"/>
        </w:rPr>
        <w:t xml:space="preserve"> that are built into language, cultural practices, traditions and ceremonies. </w:t>
      </w:r>
    </w:p>
    <w:p w14:paraId="646980A1" w14:textId="2488097D" w:rsidR="00092AF7" w:rsidRPr="00375431" w:rsidRDefault="00092AF7" w:rsidP="00092AF7">
      <w:pPr>
        <w:spacing w:line="276" w:lineRule="auto"/>
        <w:rPr>
          <w:b/>
          <w:bCs/>
          <w:color w:val="014AAD"/>
          <w:u w:val="single"/>
        </w:rPr>
      </w:pPr>
      <w:r w:rsidRPr="00375431">
        <w:rPr>
          <w:b/>
          <w:bCs/>
          <w:color w:val="014AAD"/>
          <w:u w:val="single"/>
        </w:rPr>
        <w:t>Intersecting factors that shape the experience of urban Indigenous families include…</w:t>
      </w:r>
    </w:p>
    <w:p w14:paraId="3E787D53" w14:textId="7CB9835B" w:rsidR="00092AF7" w:rsidRPr="00A535A0" w:rsidRDefault="00092AF7" w:rsidP="00375431">
      <w:pPr>
        <w:pStyle w:val="ListParagraph"/>
        <w:numPr>
          <w:ilvl w:val="0"/>
          <w:numId w:val="8"/>
        </w:numPr>
        <w:spacing w:line="276" w:lineRule="auto"/>
        <w:rPr>
          <w:color w:val="000000" w:themeColor="text1"/>
        </w:rPr>
      </w:pPr>
      <w:r>
        <w:rPr>
          <w:color w:val="000000" w:themeColor="text1"/>
        </w:rPr>
        <w:t>C</w:t>
      </w:r>
      <w:r w:rsidRPr="00A535A0">
        <w:rPr>
          <w:color w:val="000000" w:themeColor="text1"/>
        </w:rPr>
        <w:t>olonialism, race, gender, and socio-economic status.</w:t>
      </w:r>
    </w:p>
    <w:p w14:paraId="56204E38" w14:textId="77777777" w:rsidR="00092AF7" w:rsidRPr="009B4A62" w:rsidRDefault="00092AF7" w:rsidP="00375431">
      <w:pPr>
        <w:pStyle w:val="ListParagraph"/>
        <w:numPr>
          <w:ilvl w:val="0"/>
          <w:numId w:val="8"/>
        </w:numPr>
        <w:spacing w:line="276" w:lineRule="auto"/>
        <w:rPr>
          <w:color w:val="000000" w:themeColor="text1"/>
        </w:rPr>
      </w:pPr>
      <w:r w:rsidRPr="00092AF7">
        <w:rPr>
          <w:color w:val="000000" w:themeColor="text1"/>
        </w:rPr>
        <w:t xml:space="preserve">Surveillance of people </w:t>
      </w:r>
      <w:r>
        <w:rPr>
          <w:color w:val="000000" w:themeColor="text1"/>
        </w:rPr>
        <w:t>who</w:t>
      </w:r>
      <w:r w:rsidRPr="009B4A62">
        <w:rPr>
          <w:color w:val="000000" w:themeColor="text1"/>
        </w:rPr>
        <w:t xml:space="preserve"> are in poverty, particularly </w:t>
      </w:r>
      <w:r>
        <w:rPr>
          <w:color w:val="000000" w:themeColor="text1"/>
        </w:rPr>
        <w:t xml:space="preserve">racialized people, </w:t>
      </w:r>
      <w:r w:rsidRPr="00092AF7">
        <w:rPr>
          <w:color w:val="000000" w:themeColor="text1"/>
        </w:rPr>
        <w:t>by institutional authorities or community members.</w:t>
      </w:r>
    </w:p>
    <w:p w14:paraId="78692873" w14:textId="77777777" w:rsidR="00092AF7" w:rsidRPr="00A535A0" w:rsidRDefault="00092AF7" w:rsidP="00375431">
      <w:pPr>
        <w:pStyle w:val="ListParagraph"/>
        <w:numPr>
          <w:ilvl w:val="0"/>
          <w:numId w:val="8"/>
        </w:numPr>
        <w:spacing w:line="276" w:lineRule="auto"/>
        <w:rPr>
          <w:color w:val="000000" w:themeColor="text1"/>
        </w:rPr>
      </w:pPr>
      <w:r w:rsidRPr="00A535A0">
        <w:rPr>
          <w:color w:val="000000" w:themeColor="text1"/>
        </w:rPr>
        <w:t xml:space="preserve">Social determinants, such as housing and income security, that limit the capacity of parents to regain the necessary stability to return children home from provincial care.  </w:t>
      </w:r>
    </w:p>
    <w:p w14:paraId="7541C759" w14:textId="1F18FF9D" w:rsidR="00092AF7" w:rsidRPr="00375431" w:rsidRDefault="00092AF7" w:rsidP="00092AF7">
      <w:pPr>
        <w:spacing w:line="276" w:lineRule="auto"/>
        <w:rPr>
          <w:b/>
          <w:bCs/>
          <w:color w:val="014AAD"/>
          <w:u w:val="single"/>
        </w:rPr>
      </w:pPr>
      <w:r w:rsidRPr="00375431">
        <w:rPr>
          <w:b/>
          <w:bCs/>
          <w:color w:val="014AAD"/>
          <w:u w:val="single"/>
        </w:rPr>
        <w:t>When working with urban Indigenous families and communities, we recommend…</w:t>
      </w:r>
    </w:p>
    <w:p w14:paraId="7789A008" w14:textId="77777777" w:rsidR="00092AF7" w:rsidRPr="00A535A0" w:rsidRDefault="00092AF7" w:rsidP="00375431">
      <w:pPr>
        <w:pStyle w:val="ListParagraph"/>
        <w:numPr>
          <w:ilvl w:val="0"/>
          <w:numId w:val="9"/>
        </w:numPr>
        <w:spacing w:line="276" w:lineRule="auto"/>
        <w:rPr>
          <w:color w:val="000000" w:themeColor="text1"/>
        </w:rPr>
      </w:pPr>
      <w:r w:rsidRPr="00A535A0">
        <w:rPr>
          <w:color w:val="000000" w:themeColor="text1"/>
        </w:rPr>
        <w:t>Strengthening community-based Indigenous organizations as foundational sites for delivery of preventative programming.</w:t>
      </w:r>
    </w:p>
    <w:p w14:paraId="75CD591A" w14:textId="77777777" w:rsidR="00092AF7" w:rsidRPr="00A535A0" w:rsidRDefault="00092AF7" w:rsidP="00375431">
      <w:pPr>
        <w:pStyle w:val="ListParagraph"/>
        <w:numPr>
          <w:ilvl w:val="0"/>
          <w:numId w:val="9"/>
        </w:numPr>
        <w:spacing w:line="276" w:lineRule="auto"/>
        <w:rPr>
          <w:color w:val="000000" w:themeColor="text1"/>
        </w:rPr>
      </w:pPr>
      <w:r w:rsidRPr="00A535A0">
        <w:rPr>
          <w:color w:val="000000" w:themeColor="text1"/>
        </w:rPr>
        <w:t xml:space="preserve">Having a programming model that includes the entire family, including intergenerational supports such as grandparents and other kin, providing access to Indigenous ways of knowing and fostering successful retention rates.  </w:t>
      </w:r>
    </w:p>
    <w:p w14:paraId="61E02092" w14:textId="77777777" w:rsidR="00092AF7" w:rsidRPr="00A535A0" w:rsidRDefault="00092AF7" w:rsidP="00375431">
      <w:pPr>
        <w:pStyle w:val="ListParagraph"/>
        <w:numPr>
          <w:ilvl w:val="0"/>
          <w:numId w:val="9"/>
        </w:numPr>
        <w:spacing w:line="276" w:lineRule="auto"/>
        <w:rPr>
          <w:color w:val="000000" w:themeColor="text1"/>
        </w:rPr>
      </w:pPr>
      <w:r w:rsidRPr="00A535A0">
        <w:rPr>
          <w:color w:val="000000" w:themeColor="text1"/>
        </w:rPr>
        <w:t xml:space="preserve">Increasing awareness of culturally appropriate services, so that families know where to turn in a crisis situation.  </w:t>
      </w:r>
    </w:p>
    <w:p w14:paraId="6E4E710E" w14:textId="77777777" w:rsidR="00092AF7" w:rsidRPr="00A535A0" w:rsidRDefault="00092AF7" w:rsidP="00375431">
      <w:pPr>
        <w:pStyle w:val="ListParagraph"/>
        <w:numPr>
          <w:ilvl w:val="0"/>
          <w:numId w:val="9"/>
        </w:numPr>
        <w:spacing w:line="276" w:lineRule="auto"/>
        <w:rPr>
          <w:color w:val="000000" w:themeColor="text1"/>
        </w:rPr>
      </w:pPr>
      <w:r w:rsidRPr="00A535A0">
        <w:rPr>
          <w:color w:val="000000" w:themeColor="text1"/>
        </w:rPr>
        <w:t xml:space="preserve">Building relationships between organizations and the Department of Community Services to coordinate services and improve communication, making it more seamless for families to access resources.  </w:t>
      </w:r>
    </w:p>
    <w:p w14:paraId="52541521" w14:textId="77777777" w:rsidR="00092AF7" w:rsidRPr="00A535A0" w:rsidRDefault="00092AF7" w:rsidP="00375431">
      <w:pPr>
        <w:pStyle w:val="ListParagraph"/>
        <w:numPr>
          <w:ilvl w:val="0"/>
          <w:numId w:val="9"/>
        </w:numPr>
        <w:spacing w:line="276" w:lineRule="auto"/>
        <w:rPr>
          <w:color w:val="000000" w:themeColor="text1"/>
        </w:rPr>
      </w:pPr>
      <w:r w:rsidRPr="00A535A0">
        <w:rPr>
          <w:color w:val="000000" w:themeColor="text1"/>
        </w:rPr>
        <w:t xml:space="preserve">Hiring Mi’kmaq and other Indigenous support workers to work in non-Indigenous organizations and critically assessing required credentials to ensure they do not pose barriers to hiring.  </w:t>
      </w:r>
    </w:p>
    <w:p w14:paraId="7EBB7451" w14:textId="77777777" w:rsidR="00092AF7" w:rsidRPr="00A535A0" w:rsidRDefault="00092AF7" w:rsidP="00375431">
      <w:pPr>
        <w:pStyle w:val="ListParagraph"/>
        <w:numPr>
          <w:ilvl w:val="0"/>
          <w:numId w:val="9"/>
        </w:numPr>
        <w:spacing w:line="276" w:lineRule="auto"/>
        <w:rPr>
          <w:color w:val="000000" w:themeColor="text1"/>
        </w:rPr>
      </w:pPr>
      <w:r w:rsidRPr="00A535A0">
        <w:rPr>
          <w:color w:val="000000" w:themeColor="text1"/>
        </w:rPr>
        <w:t xml:space="preserve">Greater Indigenous representation among health professionals and child welfare workers, with mandatory cultural safety training as part of the orientation process for non-Indigenous staff.  This is key to maintaining the momentum behind relationship building and education provision with families.  </w:t>
      </w:r>
    </w:p>
    <w:p w14:paraId="786A45C0" w14:textId="77777777" w:rsidR="00092AF7" w:rsidRPr="00A535A0" w:rsidRDefault="00092AF7" w:rsidP="00375431">
      <w:pPr>
        <w:pStyle w:val="ListParagraph"/>
        <w:numPr>
          <w:ilvl w:val="0"/>
          <w:numId w:val="9"/>
        </w:numPr>
        <w:spacing w:line="276" w:lineRule="auto"/>
        <w:rPr>
          <w:color w:val="000000" w:themeColor="text1"/>
        </w:rPr>
      </w:pPr>
      <w:r w:rsidRPr="00A535A0">
        <w:rPr>
          <w:color w:val="000000" w:themeColor="text1"/>
        </w:rPr>
        <w:t>Specific training to help child welfare workers understand how parenting practices differ between Indigenous and non-Indigenous families.  This is crucial to ensuring that parenting programs are useful for Indigenous communities.</w:t>
      </w:r>
    </w:p>
    <w:p w14:paraId="2002E08C" w14:textId="77777777" w:rsidR="00092AF7" w:rsidRPr="00A535A0" w:rsidRDefault="00092AF7" w:rsidP="00375431">
      <w:pPr>
        <w:pStyle w:val="ListParagraph"/>
        <w:numPr>
          <w:ilvl w:val="0"/>
          <w:numId w:val="9"/>
        </w:numPr>
        <w:spacing w:line="276" w:lineRule="auto"/>
        <w:rPr>
          <w:color w:val="000000" w:themeColor="text1"/>
        </w:rPr>
      </w:pPr>
      <w:r w:rsidRPr="00A535A0">
        <w:rPr>
          <w:color w:val="000000" w:themeColor="text1"/>
        </w:rPr>
        <w:t xml:space="preserve">Addressing structural factors that influence Indigenous families in their interactions with child welfare </w:t>
      </w:r>
      <w:r w:rsidRPr="00A535A0">
        <w:rPr>
          <w:color w:val="000000" w:themeColor="text1"/>
        </w:rPr>
        <w:sym w:font="Symbol" w:char="F02D"/>
      </w:r>
      <w:r w:rsidRPr="00A535A0">
        <w:rPr>
          <w:color w:val="000000" w:themeColor="text1"/>
        </w:rPr>
        <w:t xml:space="preserve"> specifically tackling racism and poverty/income insecurity and jurisdictional wrangling and filling gaps in services to the urban Indigenous community.  Other determinants of health and wellness, such as education and housing, should also be addressed.</w:t>
      </w:r>
    </w:p>
    <w:p w14:paraId="73455C49" w14:textId="7A899EBD" w:rsidR="00092AF7" w:rsidRPr="00D735FE" w:rsidRDefault="00092AF7" w:rsidP="00375431">
      <w:pPr>
        <w:pStyle w:val="ListParagraph"/>
        <w:numPr>
          <w:ilvl w:val="0"/>
          <w:numId w:val="9"/>
        </w:numPr>
        <w:spacing w:line="276" w:lineRule="auto"/>
        <w:rPr>
          <w:color w:val="000000" w:themeColor="text1"/>
        </w:rPr>
      </w:pPr>
      <w:r w:rsidRPr="00A535A0">
        <w:rPr>
          <w:color w:val="000000" w:themeColor="text1"/>
        </w:rPr>
        <w:t>Working with schools and colleges to ensure that students in health and social work programs are trained to understand Indigenous history, cultures, and traditions and the role these play in health and wellbeing, as well as their obligations under Jordan’s Principle and Bill C-92</w:t>
      </w:r>
      <w:r w:rsidRPr="00A535A0">
        <w:rPr>
          <w:color w:val="000000" w:themeColor="text1"/>
          <w:vertAlign w:val="superscript"/>
        </w:rPr>
        <w:t>2</w:t>
      </w:r>
      <w:r w:rsidRPr="00A535A0">
        <w:rPr>
          <w:color w:val="000000" w:themeColor="text1"/>
        </w:rPr>
        <w:t>.</w:t>
      </w:r>
    </w:p>
    <w:p w14:paraId="081083EA" w14:textId="738B8E87" w:rsidR="00092AF7" w:rsidRPr="00375431" w:rsidRDefault="00092AF7" w:rsidP="00375431">
      <w:pPr>
        <w:pStyle w:val="Standard"/>
        <w:jc w:val="center"/>
        <w:rPr>
          <w:rFonts w:eastAsia="Times New Roman"/>
          <w:b/>
          <w:bCs/>
          <w:color w:val="014AAD"/>
          <w:u w:val="single"/>
        </w:rPr>
      </w:pPr>
      <w:r w:rsidRPr="00375431">
        <w:rPr>
          <w:rFonts w:eastAsia="Times New Roman"/>
          <w:b/>
          <w:bCs/>
          <w:color w:val="014AAD"/>
          <w:u w:val="single"/>
        </w:rPr>
        <w:lastRenderedPageBreak/>
        <w:t>Additional Information and Resources:</w:t>
      </w:r>
    </w:p>
    <w:p w14:paraId="54BE1B8A" w14:textId="77777777" w:rsidR="00092AF7" w:rsidRDefault="00092AF7" w:rsidP="00092AF7">
      <w:pPr>
        <w:pStyle w:val="Standard"/>
        <w:ind w:left="360"/>
        <w:jc w:val="center"/>
        <w:rPr>
          <w:rFonts w:eastAsia="Times New Roman"/>
          <w:b/>
          <w:bCs/>
          <w:color w:val="014AAD"/>
        </w:rPr>
      </w:pPr>
    </w:p>
    <w:p w14:paraId="31DA9C29" w14:textId="77777777" w:rsidR="00092AF7" w:rsidRPr="009B4A62" w:rsidRDefault="00092AF7" w:rsidP="00092AF7">
      <w:pPr>
        <w:spacing w:line="276" w:lineRule="auto"/>
        <w:ind w:left="283"/>
        <w:jc w:val="center"/>
      </w:pPr>
      <w:r w:rsidRPr="009B4A62">
        <w:t xml:space="preserve">For more </w:t>
      </w:r>
      <w:proofErr w:type="gramStart"/>
      <w:r w:rsidRPr="009B4A62">
        <w:t>information</w:t>
      </w:r>
      <w:proofErr w:type="gramEnd"/>
      <w:r w:rsidRPr="009B4A62">
        <w:t xml:space="preserve"> please contact us at </w:t>
      </w:r>
      <w:hyperlink r:id="rId9" w:history="1">
        <w:r w:rsidRPr="009B4A62">
          <w:rPr>
            <w:rStyle w:val="Hyperlink"/>
          </w:rPr>
          <w:t>strongcommunities-families@laurentian.ca</w:t>
        </w:r>
      </w:hyperlink>
      <w:r w:rsidRPr="009B4A62">
        <w:t xml:space="preserve"> or </w:t>
      </w:r>
    </w:p>
    <w:p w14:paraId="2AA5B0F4" w14:textId="5DC4B55F" w:rsidR="00092AF7" w:rsidRPr="009B4A62" w:rsidRDefault="00092AF7" w:rsidP="00092AF7">
      <w:pPr>
        <w:spacing w:line="276" w:lineRule="auto"/>
        <w:ind w:left="283"/>
        <w:jc w:val="center"/>
      </w:pPr>
      <w:r w:rsidRPr="009B4A62">
        <w:t xml:space="preserve">call: </w:t>
      </w:r>
      <w:r w:rsidR="00BC41B4" w:rsidRPr="00AF1C81">
        <w:t>902-494-6693</w:t>
      </w:r>
    </w:p>
    <w:p w14:paraId="29DE6A9B" w14:textId="77777777" w:rsidR="00092AF7" w:rsidRDefault="00092AF7" w:rsidP="00092AF7">
      <w:pPr>
        <w:pStyle w:val="Standard"/>
        <w:rPr>
          <w:rFonts w:eastAsia="Times New Roman"/>
          <w:b/>
          <w:bCs/>
          <w:color w:val="014AAD"/>
        </w:rPr>
      </w:pPr>
    </w:p>
    <w:p w14:paraId="56F9F879" w14:textId="55A94A06" w:rsidR="00092AF7" w:rsidRPr="00092AF7" w:rsidRDefault="00092AF7" w:rsidP="00092AF7">
      <w:pPr>
        <w:pStyle w:val="Standard"/>
        <w:ind w:left="360"/>
        <w:rPr>
          <w:color w:val="014AAD"/>
        </w:rPr>
      </w:pPr>
      <w:r w:rsidRPr="00092AF7">
        <w:rPr>
          <w:rFonts w:eastAsia="Times New Roman"/>
          <w:b/>
          <w:bCs/>
          <w:color w:val="014AAD"/>
        </w:rPr>
        <w:t>Other communities overrepresented in the child welfare system…</w:t>
      </w:r>
    </w:p>
    <w:p w14:paraId="4EBE23E8" w14:textId="735D1987" w:rsidR="00092AF7" w:rsidRPr="00092AF7" w:rsidRDefault="00092AF7" w:rsidP="00092AF7">
      <w:pPr>
        <w:pStyle w:val="Standard"/>
        <w:numPr>
          <w:ilvl w:val="0"/>
          <w:numId w:val="5"/>
        </w:numPr>
      </w:pPr>
      <w:r w:rsidRPr="00092AF7">
        <w:rPr>
          <w:rFonts w:eastAsia="Times New Roman"/>
          <w:color w:val="000000"/>
        </w:rPr>
        <w:t>Are African Nova Scotian and newcomer communities, which often face similar challenges to urban Indigenous communities here in HRM.</w:t>
      </w:r>
    </w:p>
    <w:p w14:paraId="6F745A70" w14:textId="77777777" w:rsidR="00092AF7" w:rsidRPr="00092AF7" w:rsidRDefault="00092AF7" w:rsidP="00092AF7">
      <w:pPr>
        <w:pStyle w:val="Standard"/>
        <w:numPr>
          <w:ilvl w:val="0"/>
          <w:numId w:val="5"/>
        </w:numPr>
      </w:pPr>
      <w:r w:rsidRPr="00092AF7">
        <w:rPr>
          <w:rFonts w:eastAsia="Times New Roman"/>
          <w:color w:val="000000"/>
        </w:rPr>
        <w:t>Have common strengths of culture as well as close family and community ties.</w:t>
      </w:r>
    </w:p>
    <w:p w14:paraId="5DBE6EC0" w14:textId="77777777" w:rsidR="00092AF7" w:rsidRPr="00092AF7" w:rsidRDefault="00092AF7" w:rsidP="00092AF7">
      <w:pPr>
        <w:pStyle w:val="Standard"/>
        <w:ind w:left="720"/>
      </w:pPr>
    </w:p>
    <w:p w14:paraId="6DABA386" w14:textId="1A7EA7E5" w:rsidR="00092AF7" w:rsidRDefault="00092AF7" w:rsidP="00092AF7">
      <w:pPr>
        <w:pStyle w:val="Standard"/>
        <w:jc w:val="center"/>
      </w:pPr>
      <w:r w:rsidRPr="00092AF7">
        <w:rPr>
          <w:rFonts w:eastAsia="Times New Roman"/>
          <w:color w:val="000000"/>
        </w:rPr>
        <w:t xml:space="preserve">Supports and resources are essential to strengthening and keeping </w:t>
      </w:r>
      <w:r>
        <w:rPr>
          <w:rFonts w:eastAsia="Times New Roman"/>
          <w:color w:val="000000"/>
        </w:rPr>
        <w:t>Indigenous</w:t>
      </w:r>
      <w:r w:rsidRPr="00092AF7">
        <w:rPr>
          <w:rFonts w:eastAsia="Times New Roman"/>
          <w:color w:val="000000"/>
        </w:rPr>
        <w:t xml:space="preserve"> families together. You can see the list of </w:t>
      </w:r>
      <w:r>
        <w:rPr>
          <w:rFonts w:eastAsia="Times New Roman"/>
          <w:color w:val="000000"/>
        </w:rPr>
        <w:t xml:space="preserve">resources </w:t>
      </w:r>
      <w:r w:rsidRPr="00092AF7">
        <w:rPr>
          <w:rFonts w:eastAsia="Times New Roman"/>
          <w:color w:val="000000"/>
        </w:rPr>
        <w:t>shared with community members accompanying this infographic.</w:t>
      </w:r>
    </w:p>
    <w:p w14:paraId="6CAD3B78" w14:textId="77777777" w:rsidR="00092AF7" w:rsidRPr="009B4A62" w:rsidRDefault="00092AF7" w:rsidP="00092AF7">
      <w:pPr>
        <w:spacing w:line="276" w:lineRule="auto"/>
      </w:pPr>
    </w:p>
    <w:p w14:paraId="5D72704A" w14:textId="77777777" w:rsidR="00092AF7" w:rsidRDefault="00092AF7" w:rsidP="00092AF7">
      <w:pPr>
        <w:ind w:left="283"/>
        <w:jc w:val="center"/>
        <w:rPr>
          <w:b/>
          <w:bCs/>
        </w:rPr>
      </w:pPr>
    </w:p>
    <w:p w14:paraId="0A4A9CD4" w14:textId="6B14CC17" w:rsidR="00092AF7" w:rsidRDefault="00092AF7" w:rsidP="00092AF7">
      <w:pPr>
        <w:ind w:left="283"/>
        <w:jc w:val="center"/>
      </w:pPr>
      <w:r w:rsidRPr="00B65664">
        <w:rPr>
          <w:b/>
          <w:bCs/>
        </w:rPr>
        <w:t>Source:</w:t>
      </w:r>
      <w:r>
        <w:t xml:space="preserve"> Torres, S., Waldron, I., Ross, N., Metallic, N., Grant, W., </w:t>
      </w:r>
      <w:proofErr w:type="spellStart"/>
      <w:r>
        <w:t>Guasdal</w:t>
      </w:r>
      <w:proofErr w:type="spellEnd"/>
      <w:r>
        <w:t>, W., &amp; Moriah, J. (2022)</w:t>
      </w:r>
    </w:p>
    <w:p w14:paraId="6B6F319A" w14:textId="17E67862" w:rsidR="00092AF7" w:rsidRDefault="00092AF7" w:rsidP="00092AF7">
      <w:pPr>
        <w:ind w:left="283"/>
        <w:jc w:val="center"/>
      </w:pPr>
      <w:r w:rsidRPr="00A535A0">
        <w:rPr>
          <w:i/>
          <w:iCs/>
        </w:rPr>
        <w:t>Examining Protective Factors for Children’s Welfare: The Case of Indigenous, African Nova Scotian &amp; Immigrant and Refugee Children in the Halifax Regional Municipality</w:t>
      </w:r>
      <w:r>
        <w:t>. Laurentian University, Sudbury, Ontario.</w:t>
      </w:r>
    </w:p>
    <w:p w14:paraId="23CED0D1" w14:textId="77777777" w:rsidR="00092AF7" w:rsidRDefault="00092AF7" w:rsidP="00092AF7">
      <w:pPr>
        <w:ind w:left="283"/>
        <w:jc w:val="center"/>
      </w:pPr>
    </w:p>
    <w:p w14:paraId="502D9CBE" w14:textId="77777777" w:rsidR="00092AF7" w:rsidRDefault="00092AF7" w:rsidP="00092AF7">
      <w:pPr>
        <w:ind w:left="283"/>
        <w:jc w:val="center"/>
      </w:pPr>
      <w:r>
        <w:rPr>
          <w:b/>
          <w:bCs/>
        </w:rPr>
        <w:t>Project Purpose</w:t>
      </w:r>
      <w:r w:rsidRPr="00A535A0">
        <w:rPr>
          <w:b/>
          <w:bCs/>
        </w:rPr>
        <w:t>:</w:t>
      </w:r>
      <w:r>
        <w:t xml:space="preserve"> </w:t>
      </w:r>
      <w:r w:rsidRPr="00A535A0">
        <w:t xml:space="preserve">To identify support systems and strategies to strengthen the capacity of families from </w:t>
      </w:r>
      <w:r>
        <w:t xml:space="preserve">urban </w:t>
      </w:r>
      <w:r w:rsidRPr="00A535A0">
        <w:t>Indigenous</w:t>
      </w:r>
      <w:r>
        <w:t xml:space="preserve">, African Nova Scotian, </w:t>
      </w:r>
      <w:proofErr w:type="gramStart"/>
      <w:r>
        <w:t>i</w:t>
      </w:r>
      <w:r w:rsidRPr="00A535A0">
        <w:t>mmigrant</w:t>
      </w:r>
      <w:proofErr w:type="gramEnd"/>
      <w:r>
        <w:t xml:space="preserve"> and r</w:t>
      </w:r>
      <w:r w:rsidRPr="00A535A0">
        <w:t>efugee populations in the Halifax Regional Municipality to mobilize communities to prevent the entry or re-entry of children into provincial care.</w:t>
      </w:r>
    </w:p>
    <w:p w14:paraId="00E3156C" w14:textId="77777777" w:rsidR="00092AF7" w:rsidRDefault="00092AF7" w:rsidP="00092AF7">
      <w:pPr>
        <w:ind w:left="283"/>
        <w:jc w:val="center"/>
      </w:pPr>
    </w:p>
    <w:p w14:paraId="22B96F08" w14:textId="77777777" w:rsidR="00092AF7" w:rsidRDefault="00092AF7" w:rsidP="00092AF7">
      <w:pPr>
        <w:spacing w:line="276" w:lineRule="auto"/>
        <w:ind w:left="283"/>
        <w:jc w:val="center"/>
      </w:pPr>
    </w:p>
    <w:p w14:paraId="3EE5527C" w14:textId="77777777" w:rsidR="00092AF7" w:rsidRDefault="00092AF7" w:rsidP="00092AF7">
      <w:pPr>
        <w:spacing w:line="276" w:lineRule="auto"/>
        <w:rPr>
          <w:sz w:val="21"/>
          <w:szCs w:val="21"/>
        </w:rPr>
      </w:pPr>
      <w:r w:rsidRPr="000C73F3">
        <w:rPr>
          <w:sz w:val="21"/>
          <w:szCs w:val="21"/>
          <w:vertAlign w:val="superscript"/>
        </w:rPr>
        <w:t xml:space="preserve">1 </w:t>
      </w:r>
      <w:r>
        <w:rPr>
          <w:sz w:val="21"/>
          <w:szCs w:val="21"/>
        </w:rPr>
        <w:t>Statistics Canada (2022, January 17</w:t>
      </w:r>
      <w:r w:rsidRPr="00A535A0">
        <w:rPr>
          <w:sz w:val="21"/>
          <w:szCs w:val="21"/>
        </w:rPr>
        <w:t>)</w:t>
      </w:r>
      <w:r w:rsidRPr="00A535A0">
        <w:rPr>
          <w:i/>
          <w:iCs/>
          <w:sz w:val="21"/>
          <w:szCs w:val="21"/>
        </w:rPr>
        <w:t>.  Reducing the number of Indigenous children in care.</w:t>
      </w:r>
      <w:r>
        <w:rPr>
          <w:sz w:val="21"/>
          <w:szCs w:val="21"/>
        </w:rPr>
        <w:t xml:space="preserve">  </w:t>
      </w:r>
      <w:hyperlink r:id="rId10" w:history="1">
        <w:r w:rsidRPr="00ED532B">
          <w:rPr>
            <w:rStyle w:val="Hyperlink"/>
            <w:sz w:val="21"/>
            <w:szCs w:val="21"/>
          </w:rPr>
          <w:t>https://www.sac-isc.gc.ca/eng/1541187352297/1541187392851</w:t>
        </w:r>
      </w:hyperlink>
      <w:r>
        <w:rPr>
          <w:sz w:val="21"/>
          <w:szCs w:val="21"/>
        </w:rPr>
        <w:t xml:space="preserve"> </w:t>
      </w:r>
    </w:p>
    <w:p w14:paraId="7E9A3672" w14:textId="77777777" w:rsidR="00092AF7" w:rsidRDefault="00092AF7" w:rsidP="00092AF7">
      <w:pPr>
        <w:spacing w:line="276" w:lineRule="auto"/>
        <w:rPr>
          <w:sz w:val="21"/>
          <w:szCs w:val="21"/>
        </w:rPr>
      </w:pPr>
      <w:r w:rsidRPr="00A535A0">
        <w:rPr>
          <w:sz w:val="21"/>
          <w:szCs w:val="21"/>
          <w:vertAlign w:val="superscript"/>
        </w:rPr>
        <w:t>2</w:t>
      </w:r>
      <w:r w:rsidRPr="00A535A0">
        <w:rPr>
          <w:sz w:val="21"/>
          <w:szCs w:val="21"/>
        </w:rPr>
        <w:t xml:space="preserve">Bill C-92, An Act Respecting First Nations, Inuit and </w:t>
      </w:r>
      <w:proofErr w:type="spellStart"/>
      <w:r w:rsidRPr="00A535A0">
        <w:rPr>
          <w:sz w:val="21"/>
          <w:szCs w:val="21"/>
        </w:rPr>
        <w:t>Métis</w:t>
      </w:r>
      <w:proofErr w:type="spellEnd"/>
      <w:r w:rsidRPr="00A535A0">
        <w:rPr>
          <w:sz w:val="21"/>
          <w:szCs w:val="21"/>
        </w:rPr>
        <w:t xml:space="preserve"> Children, Youth and Families, S.C. 2019, c. 24.  </w:t>
      </w:r>
      <w:hyperlink r:id="rId11" w:history="1">
        <w:r w:rsidRPr="00ED532B">
          <w:rPr>
            <w:rStyle w:val="Hyperlink"/>
            <w:sz w:val="21"/>
            <w:szCs w:val="21"/>
          </w:rPr>
          <w:t>https://laws-lois.justice.gc.ca/eng/annualstatutes/2019_24/page-1.html</w:t>
        </w:r>
      </w:hyperlink>
    </w:p>
    <w:p w14:paraId="02BA26AD" w14:textId="537F8333" w:rsidR="00092AF7" w:rsidRDefault="00092AF7" w:rsidP="00092AF7">
      <w:pPr>
        <w:rPr>
          <w:rFonts w:ascii="Calibri" w:hAnsi="Calibri" w:cs="Calibri"/>
          <w:color w:val="000000" w:themeColor="text1"/>
        </w:rPr>
      </w:pPr>
    </w:p>
    <w:p w14:paraId="5DD90EEC" w14:textId="6B1E53F1" w:rsidR="00BC41B4" w:rsidRDefault="00BC41B4" w:rsidP="00092AF7">
      <w:pPr>
        <w:rPr>
          <w:rFonts w:ascii="Calibri" w:hAnsi="Calibri" w:cs="Calibri"/>
          <w:color w:val="000000" w:themeColor="text1"/>
        </w:rPr>
      </w:pPr>
    </w:p>
    <w:p w14:paraId="05872716" w14:textId="2CF32513" w:rsidR="00BC41B4" w:rsidRDefault="00BC41B4" w:rsidP="00092AF7">
      <w:pPr>
        <w:rPr>
          <w:rFonts w:ascii="Calibri" w:hAnsi="Calibri" w:cs="Calibri"/>
          <w:color w:val="000000" w:themeColor="text1"/>
        </w:rPr>
      </w:pPr>
    </w:p>
    <w:p w14:paraId="06E21895" w14:textId="2AD5B4F7" w:rsidR="00BC41B4" w:rsidRDefault="00BC41B4" w:rsidP="00092AF7">
      <w:pPr>
        <w:rPr>
          <w:rFonts w:ascii="Calibri" w:hAnsi="Calibri" w:cs="Calibri"/>
          <w:color w:val="000000" w:themeColor="text1"/>
        </w:rPr>
      </w:pPr>
    </w:p>
    <w:p w14:paraId="638C4158" w14:textId="16B3B01A" w:rsidR="00BC41B4" w:rsidRDefault="00BC41B4" w:rsidP="00092AF7">
      <w:pPr>
        <w:rPr>
          <w:rFonts w:ascii="Calibri" w:hAnsi="Calibri" w:cs="Calibri"/>
          <w:color w:val="000000" w:themeColor="text1"/>
        </w:rPr>
      </w:pPr>
    </w:p>
    <w:p w14:paraId="067794D7" w14:textId="3495A2D8" w:rsidR="00BC41B4" w:rsidRDefault="00BC41B4" w:rsidP="00092AF7">
      <w:pPr>
        <w:rPr>
          <w:rFonts w:ascii="Calibri" w:hAnsi="Calibri" w:cs="Calibri"/>
          <w:color w:val="000000" w:themeColor="text1"/>
        </w:rPr>
      </w:pPr>
    </w:p>
    <w:p w14:paraId="6B950EC9" w14:textId="50651873" w:rsidR="00BC41B4" w:rsidRDefault="00BC41B4" w:rsidP="00092AF7">
      <w:pPr>
        <w:rPr>
          <w:rFonts w:ascii="Calibri" w:hAnsi="Calibri" w:cs="Calibri"/>
          <w:color w:val="000000" w:themeColor="text1"/>
        </w:rPr>
      </w:pPr>
    </w:p>
    <w:p w14:paraId="5167CF1D" w14:textId="1681757D" w:rsidR="00BC41B4" w:rsidRDefault="00BC41B4" w:rsidP="00092AF7">
      <w:pPr>
        <w:rPr>
          <w:rFonts w:ascii="Calibri" w:hAnsi="Calibri" w:cs="Calibri"/>
          <w:color w:val="000000" w:themeColor="text1"/>
        </w:rPr>
      </w:pPr>
    </w:p>
    <w:p w14:paraId="7F84E9BD" w14:textId="2907F3BE" w:rsidR="00BC41B4" w:rsidRDefault="00BC41B4" w:rsidP="00092AF7">
      <w:pPr>
        <w:rPr>
          <w:rFonts w:ascii="Calibri" w:hAnsi="Calibri" w:cs="Calibri"/>
          <w:color w:val="000000" w:themeColor="text1"/>
        </w:rPr>
      </w:pPr>
    </w:p>
    <w:p w14:paraId="311E9212" w14:textId="7CD69267" w:rsidR="00BC41B4" w:rsidRDefault="00BC41B4" w:rsidP="00092AF7">
      <w:pPr>
        <w:rPr>
          <w:rFonts w:ascii="Calibri" w:hAnsi="Calibri" w:cs="Calibri"/>
          <w:color w:val="000000" w:themeColor="text1"/>
        </w:rPr>
      </w:pPr>
    </w:p>
    <w:p w14:paraId="4EBB7FC4" w14:textId="0A214FE8" w:rsidR="00BC41B4" w:rsidRDefault="00BC41B4" w:rsidP="00092AF7">
      <w:pPr>
        <w:rPr>
          <w:rFonts w:ascii="Calibri" w:hAnsi="Calibri" w:cs="Calibri"/>
          <w:color w:val="000000" w:themeColor="text1"/>
        </w:rPr>
      </w:pPr>
    </w:p>
    <w:p w14:paraId="3B03389F" w14:textId="059FEE3A" w:rsidR="00BC41B4" w:rsidRDefault="00BC41B4" w:rsidP="00092AF7">
      <w:pPr>
        <w:rPr>
          <w:rFonts w:ascii="Calibri" w:hAnsi="Calibri" w:cs="Calibri"/>
          <w:color w:val="000000" w:themeColor="text1"/>
        </w:rPr>
      </w:pPr>
    </w:p>
    <w:p w14:paraId="5F0FDDF4" w14:textId="46FA9782" w:rsidR="00BC41B4" w:rsidRPr="00092AF7" w:rsidRDefault="00BC41B4" w:rsidP="00BC41B4">
      <w:pPr>
        <w:jc w:val="center"/>
        <w:rPr>
          <w:rFonts w:ascii="Calibri" w:hAnsi="Calibri" w:cs="Calibri"/>
          <w:b/>
          <w:bCs/>
          <w:color w:val="000000" w:themeColor="text1"/>
          <w:sz w:val="36"/>
          <w:szCs w:val="36"/>
        </w:rPr>
      </w:pPr>
      <w:r>
        <w:rPr>
          <w:rFonts w:ascii="Calibri" w:hAnsi="Calibri" w:cs="Calibri"/>
          <w:b/>
          <w:bCs/>
          <w:color w:val="000000" w:themeColor="text1"/>
          <w:sz w:val="36"/>
          <w:szCs w:val="36"/>
        </w:rPr>
        <w:lastRenderedPageBreak/>
        <w:t>Indigenous Community Resource List:</w:t>
      </w:r>
    </w:p>
    <w:p w14:paraId="4799E858" w14:textId="76735C4B" w:rsidR="00BC41B4" w:rsidRDefault="00BC41B4" w:rsidP="00092AF7">
      <w:pPr>
        <w:rPr>
          <w:rFonts w:ascii="Calibri" w:hAnsi="Calibri" w:cs="Calibri"/>
          <w:color w:val="000000" w:themeColor="text1"/>
        </w:rPr>
      </w:pPr>
    </w:p>
    <w:tbl>
      <w:tblPr>
        <w:tblW w:w="10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0"/>
        <w:gridCol w:w="2490"/>
        <w:gridCol w:w="1739"/>
        <w:gridCol w:w="3360"/>
      </w:tblGrid>
      <w:tr w:rsidR="00BC41B4" w:rsidRPr="004810C5" w14:paraId="40B3F9D3" w14:textId="77777777" w:rsidTr="00BC41B4">
        <w:trPr>
          <w:trHeight w:val="573"/>
          <w:jc w:val="center"/>
        </w:trPr>
        <w:tc>
          <w:tcPr>
            <w:tcW w:w="2750" w:type="dxa"/>
          </w:tcPr>
          <w:p w14:paraId="5CB8843E" w14:textId="77777777" w:rsidR="00BC41B4" w:rsidRPr="004810C5" w:rsidRDefault="00BC41B4" w:rsidP="009E59DB">
            <w:pPr>
              <w:rPr>
                <w:b/>
                <w:bCs/>
              </w:rPr>
            </w:pPr>
            <w:r w:rsidRPr="004810C5">
              <w:rPr>
                <w:b/>
                <w:bCs/>
              </w:rPr>
              <w:t xml:space="preserve">Organization Name </w:t>
            </w:r>
          </w:p>
        </w:tc>
        <w:tc>
          <w:tcPr>
            <w:tcW w:w="2490" w:type="dxa"/>
          </w:tcPr>
          <w:p w14:paraId="2DB628C6" w14:textId="77777777" w:rsidR="00BC41B4" w:rsidRPr="004810C5" w:rsidRDefault="00BC41B4" w:rsidP="009E59DB">
            <w:pPr>
              <w:rPr>
                <w:b/>
                <w:bCs/>
              </w:rPr>
            </w:pPr>
            <w:r w:rsidRPr="004810C5">
              <w:rPr>
                <w:b/>
                <w:bCs/>
              </w:rPr>
              <w:t>Programming Offered</w:t>
            </w:r>
          </w:p>
        </w:tc>
        <w:tc>
          <w:tcPr>
            <w:tcW w:w="1739" w:type="dxa"/>
          </w:tcPr>
          <w:p w14:paraId="4046FD23" w14:textId="77777777" w:rsidR="00BC41B4" w:rsidRPr="004810C5" w:rsidRDefault="00BC41B4" w:rsidP="009E59DB">
            <w:pPr>
              <w:rPr>
                <w:b/>
                <w:bCs/>
              </w:rPr>
            </w:pPr>
            <w:r w:rsidRPr="004810C5">
              <w:rPr>
                <w:b/>
                <w:bCs/>
              </w:rPr>
              <w:t>Location</w:t>
            </w:r>
          </w:p>
        </w:tc>
        <w:tc>
          <w:tcPr>
            <w:tcW w:w="3360" w:type="dxa"/>
          </w:tcPr>
          <w:p w14:paraId="7E69ECF2" w14:textId="77777777" w:rsidR="00BC41B4" w:rsidRPr="004810C5" w:rsidRDefault="00BC41B4" w:rsidP="009E59DB">
            <w:pPr>
              <w:rPr>
                <w:b/>
                <w:bCs/>
              </w:rPr>
            </w:pPr>
            <w:r w:rsidRPr="004810C5">
              <w:rPr>
                <w:b/>
                <w:bCs/>
              </w:rPr>
              <w:t>Contact</w:t>
            </w:r>
          </w:p>
        </w:tc>
      </w:tr>
      <w:tr w:rsidR="00BC41B4" w:rsidRPr="00BF189C" w14:paraId="1CA8D51F" w14:textId="77777777" w:rsidTr="00BC41B4">
        <w:trPr>
          <w:trHeight w:val="849"/>
          <w:jc w:val="center"/>
        </w:trPr>
        <w:tc>
          <w:tcPr>
            <w:tcW w:w="2750" w:type="dxa"/>
          </w:tcPr>
          <w:p w14:paraId="5383DB82" w14:textId="77777777" w:rsidR="00BC41B4" w:rsidRPr="00BF189C" w:rsidRDefault="00BC41B4" w:rsidP="009E59DB">
            <w:r w:rsidRPr="00BF189C">
              <w:t xml:space="preserve">Mi’kmaq Friendship Centre </w:t>
            </w:r>
          </w:p>
          <w:p w14:paraId="0488EB7D" w14:textId="77777777" w:rsidR="00BC41B4" w:rsidRPr="00BF189C" w:rsidRDefault="00BC41B4" w:rsidP="009E59DB"/>
        </w:tc>
        <w:tc>
          <w:tcPr>
            <w:tcW w:w="2490" w:type="dxa"/>
          </w:tcPr>
          <w:p w14:paraId="13BEC50C" w14:textId="77777777" w:rsidR="00BC41B4" w:rsidRPr="00BF189C" w:rsidRDefault="00BC41B4" w:rsidP="009E59DB">
            <w:r w:rsidRPr="00BF189C">
              <w:t>Multiple programs available</w:t>
            </w:r>
          </w:p>
          <w:p w14:paraId="189A1E66" w14:textId="77777777" w:rsidR="00BC41B4" w:rsidRPr="00BF189C" w:rsidRDefault="00BC41B4" w:rsidP="009E59DB"/>
        </w:tc>
        <w:tc>
          <w:tcPr>
            <w:tcW w:w="1739" w:type="dxa"/>
          </w:tcPr>
          <w:p w14:paraId="6B8CFC01" w14:textId="77777777" w:rsidR="00BC41B4" w:rsidRPr="00BF189C" w:rsidRDefault="00BC41B4" w:rsidP="009E59DB">
            <w:r w:rsidRPr="00BF189C">
              <w:t>2021 Brunswick St. Suite 209</w:t>
            </w:r>
          </w:p>
          <w:p w14:paraId="1AACA11C" w14:textId="77777777" w:rsidR="00BC41B4" w:rsidRPr="00BF189C" w:rsidRDefault="00BC41B4" w:rsidP="009E59DB"/>
        </w:tc>
        <w:tc>
          <w:tcPr>
            <w:tcW w:w="3360" w:type="dxa"/>
          </w:tcPr>
          <w:p w14:paraId="6BAD74A1" w14:textId="77777777" w:rsidR="00BC41B4" w:rsidRPr="00BF189C" w:rsidRDefault="00BC41B4" w:rsidP="009E59DB">
            <w:r w:rsidRPr="00BF189C">
              <w:t>(902)-420-1576</w:t>
            </w:r>
          </w:p>
          <w:p w14:paraId="78602CEF" w14:textId="77777777" w:rsidR="00BC41B4" w:rsidRPr="00BF189C" w:rsidRDefault="00BC41B4" w:rsidP="009E59DB"/>
        </w:tc>
      </w:tr>
      <w:tr w:rsidR="00BC41B4" w:rsidRPr="00BF189C" w14:paraId="42EDA21B" w14:textId="77777777" w:rsidTr="00BC41B4">
        <w:trPr>
          <w:trHeight w:val="2608"/>
          <w:jc w:val="center"/>
        </w:trPr>
        <w:tc>
          <w:tcPr>
            <w:tcW w:w="2750" w:type="dxa"/>
          </w:tcPr>
          <w:p w14:paraId="1404C953" w14:textId="77777777" w:rsidR="00BC41B4" w:rsidRPr="00BF189C" w:rsidRDefault="00BC41B4" w:rsidP="009E59DB">
            <w:r w:rsidRPr="00BF189C">
              <w:t>Native Council of Nova Scotia</w:t>
            </w:r>
          </w:p>
          <w:p w14:paraId="16AC3E6F" w14:textId="77777777" w:rsidR="00BC41B4" w:rsidRPr="00BF189C" w:rsidRDefault="00BC41B4" w:rsidP="009E59DB"/>
        </w:tc>
        <w:tc>
          <w:tcPr>
            <w:tcW w:w="2490" w:type="dxa"/>
          </w:tcPr>
          <w:p w14:paraId="68E3F486" w14:textId="77777777" w:rsidR="00BC41B4" w:rsidRPr="00BF189C" w:rsidRDefault="00BC41B4" w:rsidP="009E59DB">
            <w:r w:rsidRPr="00BF189C">
              <w:t xml:space="preserve">Multiple programs available ranging from pre-natal programs to parenting, counselling, youth programs, shelters. </w:t>
            </w:r>
          </w:p>
          <w:p w14:paraId="0C28AE78" w14:textId="77777777" w:rsidR="00BC41B4" w:rsidRPr="00BF189C" w:rsidRDefault="00BC41B4" w:rsidP="009E59DB"/>
        </w:tc>
        <w:tc>
          <w:tcPr>
            <w:tcW w:w="1739" w:type="dxa"/>
          </w:tcPr>
          <w:p w14:paraId="0FB9F9C1" w14:textId="6C22B065" w:rsidR="00BC41B4" w:rsidRPr="00BF189C" w:rsidRDefault="00BC41B4" w:rsidP="009E59DB">
            <w:r>
              <w:t>n/a</w:t>
            </w:r>
          </w:p>
        </w:tc>
        <w:tc>
          <w:tcPr>
            <w:tcW w:w="3360" w:type="dxa"/>
          </w:tcPr>
          <w:p w14:paraId="6CAF1184" w14:textId="77777777" w:rsidR="00BC41B4" w:rsidRPr="00BF189C" w:rsidRDefault="00BC41B4" w:rsidP="009E59DB">
            <w:r w:rsidRPr="00BF189C">
              <w:t>1-800-565-4372</w:t>
            </w:r>
          </w:p>
          <w:p w14:paraId="133FDBD5" w14:textId="77777777" w:rsidR="00BC41B4" w:rsidRPr="00BF189C" w:rsidRDefault="00BC41B4" w:rsidP="009E59DB">
            <w:hyperlink r:id="rId12">
              <w:r w:rsidRPr="00BF189C">
                <w:t>www.ncns.ca</w:t>
              </w:r>
            </w:hyperlink>
          </w:p>
          <w:p w14:paraId="13E13CFE" w14:textId="77777777" w:rsidR="00BC41B4" w:rsidRPr="00BF189C" w:rsidRDefault="00BC41B4" w:rsidP="009E59DB"/>
        </w:tc>
      </w:tr>
      <w:tr w:rsidR="00BC41B4" w:rsidRPr="00BF189C" w14:paraId="016418A5" w14:textId="77777777" w:rsidTr="00BC41B4">
        <w:trPr>
          <w:trHeight w:val="3458"/>
          <w:jc w:val="center"/>
        </w:trPr>
        <w:tc>
          <w:tcPr>
            <w:tcW w:w="2750" w:type="dxa"/>
          </w:tcPr>
          <w:p w14:paraId="3170CABD" w14:textId="77777777" w:rsidR="00BC41B4" w:rsidRPr="00BF189C" w:rsidRDefault="00BC41B4" w:rsidP="00BC41B4">
            <w:r w:rsidRPr="00BF189C">
              <w:t>Helping all our families</w:t>
            </w:r>
          </w:p>
        </w:tc>
        <w:tc>
          <w:tcPr>
            <w:tcW w:w="2490" w:type="dxa"/>
          </w:tcPr>
          <w:p w14:paraId="4F1E81D6" w14:textId="77777777" w:rsidR="00BC41B4" w:rsidRPr="00BF189C" w:rsidRDefault="00BC41B4" w:rsidP="00BC41B4">
            <w:r w:rsidRPr="00BF189C">
              <w:t xml:space="preserve">Parent program, family wellness, a culturally appropriate support to Indigenous families, consulting the family to design a needs-based specialization plan. </w:t>
            </w:r>
          </w:p>
          <w:p w14:paraId="6067CC07" w14:textId="77777777" w:rsidR="00BC41B4" w:rsidRPr="00BF189C" w:rsidRDefault="00BC41B4" w:rsidP="00BC41B4"/>
        </w:tc>
        <w:tc>
          <w:tcPr>
            <w:tcW w:w="1739" w:type="dxa"/>
          </w:tcPr>
          <w:p w14:paraId="090B07DB" w14:textId="4D7436AB" w:rsidR="00BC41B4" w:rsidRPr="00BF189C" w:rsidRDefault="00BC41B4" w:rsidP="00BC41B4">
            <w:r w:rsidRPr="00A6023D">
              <w:t>n/a</w:t>
            </w:r>
          </w:p>
        </w:tc>
        <w:tc>
          <w:tcPr>
            <w:tcW w:w="3360" w:type="dxa"/>
          </w:tcPr>
          <w:p w14:paraId="073911D6" w14:textId="77777777" w:rsidR="00BC41B4" w:rsidRPr="00BF189C" w:rsidRDefault="00BC41B4" w:rsidP="00BC41B4">
            <w:hyperlink r:id="rId13">
              <w:r w:rsidRPr="00BF189C">
                <w:t>Lisa.giles@mymnfc.com</w:t>
              </w:r>
            </w:hyperlink>
            <w:r w:rsidRPr="00BF189C">
              <w:t xml:space="preserve"> </w:t>
            </w:r>
          </w:p>
          <w:p w14:paraId="336DF7D7" w14:textId="77777777" w:rsidR="00BC41B4" w:rsidRPr="00BF189C" w:rsidRDefault="00BC41B4" w:rsidP="00BC41B4">
            <w:r w:rsidRPr="00BF189C">
              <w:t xml:space="preserve">(902)-420-1576 </w:t>
            </w:r>
          </w:p>
          <w:p w14:paraId="1CC9B652" w14:textId="77777777" w:rsidR="00BC41B4" w:rsidRPr="00BF189C" w:rsidRDefault="00BC41B4" w:rsidP="00BC41B4"/>
        </w:tc>
      </w:tr>
      <w:tr w:rsidR="00BC41B4" w:rsidRPr="00BF189C" w14:paraId="3B16F63A" w14:textId="77777777" w:rsidTr="00BC41B4">
        <w:trPr>
          <w:trHeight w:val="1719"/>
          <w:jc w:val="center"/>
        </w:trPr>
        <w:tc>
          <w:tcPr>
            <w:tcW w:w="2750" w:type="dxa"/>
          </w:tcPr>
          <w:p w14:paraId="781235E6" w14:textId="77777777" w:rsidR="00BC41B4" w:rsidRPr="00BF189C" w:rsidRDefault="00BC41B4" w:rsidP="00BC41B4">
            <w:proofErr w:type="spellStart"/>
            <w:r w:rsidRPr="00BF189C">
              <w:t>Atelhai</w:t>
            </w:r>
            <w:proofErr w:type="spellEnd"/>
            <w:r w:rsidRPr="00BF189C">
              <w:t xml:space="preserve"> Inuit Program</w:t>
            </w:r>
          </w:p>
          <w:p w14:paraId="6DAAAF17" w14:textId="77777777" w:rsidR="00BC41B4" w:rsidRPr="00BF189C" w:rsidRDefault="00BC41B4" w:rsidP="00BC41B4"/>
        </w:tc>
        <w:tc>
          <w:tcPr>
            <w:tcW w:w="2490" w:type="dxa"/>
          </w:tcPr>
          <w:p w14:paraId="480BF85F" w14:textId="77777777" w:rsidR="00BC41B4" w:rsidRPr="00BF189C" w:rsidRDefault="00BC41B4" w:rsidP="00BC41B4">
            <w:r w:rsidRPr="00BF189C">
              <w:t>Transition support, gatherings for Inuit and their families, traditional cooking &amp; clothing classes.</w:t>
            </w:r>
          </w:p>
          <w:p w14:paraId="0E442776" w14:textId="77777777" w:rsidR="00BC41B4" w:rsidRPr="00BF189C" w:rsidRDefault="00BC41B4" w:rsidP="00BC41B4"/>
        </w:tc>
        <w:tc>
          <w:tcPr>
            <w:tcW w:w="1739" w:type="dxa"/>
          </w:tcPr>
          <w:p w14:paraId="67AA9043" w14:textId="7E6211AA" w:rsidR="00BC41B4" w:rsidRPr="00BF189C" w:rsidRDefault="00BC41B4" w:rsidP="00BC41B4">
            <w:r w:rsidRPr="00A6023D">
              <w:t>n/a</w:t>
            </w:r>
          </w:p>
        </w:tc>
        <w:tc>
          <w:tcPr>
            <w:tcW w:w="3360" w:type="dxa"/>
          </w:tcPr>
          <w:p w14:paraId="156D559A" w14:textId="77777777" w:rsidR="00BC41B4" w:rsidRPr="00BF189C" w:rsidRDefault="00BC41B4" w:rsidP="00BC41B4">
            <w:r w:rsidRPr="00BF189C">
              <w:t>(902)-420-1576</w:t>
            </w:r>
          </w:p>
          <w:p w14:paraId="1E79A0B5" w14:textId="77777777" w:rsidR="00BC41B4" w:rsidRPr="00BF189C" w:rsidRDefault="00BC41B4" w:rsidP="00BC41B4"/>
        </w:tc>
      </w:tr>
      <w:tr w:rsidR="00BC41B4" w:rsidRPr="00BF189C" w14:paraId="40266F17" w14:textId="77777777" w:rsidTr="00BC41B4">
        <w:trPr>
          <w:trHeight w:val="2292"/>
          <w:jc w:val="center"/>
        </w:trPr>
        <w:tc>
          <w:tcPr>
            <w:tcW w:w="2750" w:type="dxa"/>
          </w:tcPr>
          <w:p w14:paraId="7AF0EAEE" w14:textId="77777777" w:rsidR="00BC41B4" w:rsidRPr="00BF189C" w:rsidRDefault="00BC41B4" w:rsidP="00BC41B4">
            <w:r w:rsidRPr="00BF189C">
              <w:t>Mi’kmaq Child Development Centre</w:t>
            </w:r>
          </w:p>
          <w:p w14:paraId="0771A0D4" w14:textId="77777777" w:rsidR="00BC41B4" w:rsidRPr="00BF189C" w:rsidRDefault="00BC41B4" w:rsidP="00BC41B4"/>
        </w:tc>
        <w:tc>
          <w:tcPr>
            <w:tcW w:w="2490" w:type="dxa"/>
          </w:tcPr>
          <w:p w14:paraId="2D339BF1" w14:textId="77777777" w:rsidR="00BC41B4" w:rsidRPr="00BF189C" w:rsidRDefault="00BC41B4" w:rsidP="00BC41B4">
            <w:r w:rsidRPr="00BF189C">
              <w:t xml:space="preserve">Provincially funded daycare, Aboriginal head-start program, community action program for children aged 0-7. </w:t>
            </w:r>
          </w:p>
          <w:p w14:paraId="2FF2257F" w14:textId="77777777" w:rsidR="00BC41B4" w:rsidRPr="00BF189C" w:rsidRDefault="00BC41B4" w:rsidP="00BC41B4"/>
        </w:tc>
        <w:tc>
          <w:tcPr>
            <w:tcW w:w="1739" w:type="dxa"/>
          </w:tcPr>
          <w:p w14:paraId="779554C5" w14:textId="134C94E8" w:rsidR="00BC41B4" w:rsidRPr="00BF189C" w:rsidRDefault="00BC41B4" w:rsidP="00BC41B4">
            <w:r w:rsidRPr="00A6023D">
              <w:t>n/a</w:t>
            </w:r>
          </w:p>
        </w:tc>
        <w:tc>
          <w:tcPr>
            <w:tcW w:w="3360" w:type="dxa"/>
          </w:tcPr>
          <w:p w14:paraId="36E20F64" w14:textId="77777777" w:rsidR="00BC41B4" w:rsidRPr="00BF189C" w:rsidRDefault="00BC41B4" w:rsidP="00BC41B4">
            <w:r w:rsidRPr="00BF189C">
              <w:t>(902-420-1576</w:t>
            </w:r>
          </w:p>
          <w:p w14:paraId="197532B1" w14:textId="77777777" w:rsidR="00BC41B4" w:rsidRPr="00BF189C" w:rsidRDefault="00BC41B4" w:rsidP="00BC41B4"/>
        </w:tc>
      </w:tr>
    </w:tbl>
    <w:p w14:paraId="42A8B1C4" w14:textId="77777777" w:rsidR="00BC41B4" w:rsidRPr="00092AF7" w:rsidRDefault="00BC41B4" w:rsidP="00092AF7">
      <w:pPr>
        <w:rPr>
          <w:rFonts w:ascii="Calibri" w:hAnsi="Calibri" w:cs="Calibri"/>
          <w:color w:val="000000" w:themeColor="text1"/>
        </w:rPr>
      </w:pPr>
    </w:p>
    <w:sectPr w:rsidR="00BC41B4" w:rsidRPr="00092AF7" w:rsidSect="00092AF7">
      <w:headerReference w:type="even" r:id="rId14"/>
      <w:headerReference w:type="default" r:id="rId15"/>
      <w:pgSz w:w="12240" w:h="15840"/>
      <w:pgMar w:top="1440" w:right="1440" w:bottom="1440" w:left="1440" w:header="708" w:footer="708" w:gutter="0"/>
      <w:pgBorders w:offsetFrom="page">
        <w:top w:val="single" w:sz="48" w:space="24" w:color="014AAD"/>
        <w:left w:val="single" w:sz="48" w:space="24" w:color="014AAD"/>
        <w:bottom w:val="single" w:sz="48" w:space="24" w:color="014AAD"/>
        <w:right w:val="single" w:sz="48" w:space="24" w:color="014AA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0B27" w14:textId="77777777" w:rsidR="00F83FFB" w:rsidRDefault="00F83FFB" w:rsidP="00092AF7">
      <w:r>
        <w:separator/>
      </w:r>
    </w:p>
  </w:endnote>
  <w:endnote w:type="continuationSeparator" w:id="0">
    <w:p w14:paraId="374A3669" w14:textId="77777777" w:rsidR="00F83FFB" w:rsidRDefault="00F83FFB" w:rsidP="0009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B711" w14:textId="77777777" w:rsidR="00F83FFB" w:rsidRDefault="00F83FFB" w:rsidP="00092AF7">
      <w:r>
        <w:separator/>
      </w:r>
    </w:p>
  </w:footnote>
  <w:footnote w:type="continuationSeparator" w:id="0">
    <w:p w14:paraId="1BAA4A45" w14:textId="77777777" w:rsidR="00F83FFB" w:rsidRDefault="00F83FFB" w:rsidP="0009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961062"/>
      <w:docPartObj>
        <w:docPartGallery w:val="Page Numbers (Top of Page)"/>
        <w:docPartUnique/>
      </w:docPartObj>
    </w:sdtPr>
    <w:sdtEndPr>
      <w:rPr>
        <w:rStyle w:val="PageNumber"/>
      </w:rPr>
    </w:sdtEndPr>
    <w:sdtContent>
      <w:p w14:paraId="133DB10B" w14:textId="464F25A3" w:rsidR="00092AF7" w:rsidRDefault="00092AF7" w:rsidP="00ED53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1F63A0" w14:textId="77777777" w:rsidR="00092AF7" w:rsidRDefault="00092AF7" w:rsidP="00092A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84643"/>
      <w:docPartObj>
        <w:docPartGallery w:val="Page Numbers (Top of Page)"/>
        <w:docPartUnique/>
      </w:docPartObj>
    </w:sdtPr>
    <w:sdtEndPr>
      <w:rPr>
        <w:rStyle w:val="PageNumber"/>
      </w:rPr>
    </w:sdtEndPr>
    <w:sdtContent>
      <w:p w14:paraId="16F45547" w14:textId="5A40CA14" w:rsidR="00092AF7" w:rsidRDefault="00092AF7" w:rsidP="00092AF7">
        <w:pPr>
          <w:pStyle w:val="Header"/>
          <w:framePr w:wrap="none" w:vAnchor="text" w:hAnchor="page" w:x="11941" w:y="-5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0BD4ED" w14:textId="77777777" w:rsidR="00092AF7" w:rsidRDefault="00092AF7" w:rsidP="00092A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6D3F"/>
    <w:multiLevelType w:val="hybridMultilevel"/>
    <w:tmpl w:val="740EC534"/>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E1569C5"/>
    <w:multiLevelType w:val="hybridMultilevel"/>
    <w:tmpl w:val="740EC534"/>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E453552"/>
    <w:multiLevelType w:val="hybridMultilevel"/>
    <w:tmpl w:val="82927E2C"/>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BF5FAF"/>
    <w:multiLevelType w:val="hybridMultilevel"/>
    <w:tmpl w:val="1BA614A6"/>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9BC1528"/>
    <w:multiLevelType w:val="hybridMultilevel"/>
    <w:tmpl w:val="B66E504C"/>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50756A9"/>
    <w:multiLevelType w:val="hybridMultilevel"/>
    <w:tmpl w:val="0A5CEBC8"/>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573123E"/>
    <w:multiLevelType w:val="hybridMultilevel"/>
    <w:tmpl w:val="2056FB86"/>
    <w:lvl w:ilvl="0" w:tplc="1A6618EE">
      <w:start w:val="1"/>
      <w:numFmt w:val="bullet"/>
      <w:lvlText w:val=""/>
      <w:lvlJc w:val="left"/>
      <w:pPr>
        <w:ind w:left="643"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C5A6906"/>
    <w:multiLevelType w:val="multilevel"/>
    <w:tmpl w:val="BCAEF9F0"/>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7D8C37B3"/>
    <w:multiLevelType w:val="hybridMultilevel"/>
    <w:tmpl w:val="0A5CEBC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7"/>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F7"/>
    <w:rsid w:val="00092AF7"/>
    <w:rsid w:val="001826A1"/>
    <w:rsid w:val="001B5B02"/>
    <w:rsid w:val="00375431"/>
    <w:rsid w:val="00BC41B4"/>
    <w:rsid w:val="00D735FE"/>
    <w:rsid w:val="00DA42F8"/>
    <w:rsid w:val="00DC4CEE"/>
    <w:rsid w:val="00E40BD6"/>
    <w:rsid w:val="00F83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A8A5"/>
  <w15:chartTrackingRefBased/>
  <w15:docId w15:val="{88080F6D-5C05-AA48-BE01-659C9A34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F7"/>
    <w:pPr>
      <w:ind w:left="720"/>
      <w:contextualSpacing/>
    </w:pPr>
  </w:style>
  <w:style w:type="character" w:styleId="Hyperlink">
    <w:name w:val="Hyperlink"/>
    <w:basedOn w:val="DefaultParagraphFont"/>
    <w:uiPriority w:val="99"/>
    <w:unhideWhenUsed/>
    <w:rsid w:val="00092AF7"/>
    <w:rPr>
      <w:color w:val="0563C1" w:themeColor="hyperlink"/>
      <w:u w:val="single"/>
    </w:rPr>
  </w:style>
  <w:style w:type="paragraph" w:styleId="Header">
    <w:name w:val="header"/>
    <w:basedOn w:val="Normal"/>
    <w:link w:val="HeaderChar"/>
    <w:uiPriority w:val="99"/>
    <w:unhideWhenUsed/>
    <w:rsid w:val="00092AF7"/>
    <w:pPr>
      <w:tabs>
        <w:tab w:val="center" w:pos="4680"/>
        <w:tab w:val="right" w:pos="9360"/>
      </w:tabs>
    </w:pPr>
  </w:style>
  <w:style w:type="character" w:customStyle="1" w:styleId="HeaderChar">
    <w:name w:val="Header Char"/>
    <w:basedOn w:val="DefaultParagraphFont"/>
    <w:link w:val="Header"/>
    <w:uiPriority w:val="99"/>
    <w:rsid w:val="00092AF7"/>
  </w:style>
  <w:style w:type="character" w:styleId="PageNumber">
    <w:name w:val="page number"/>
    <w:basedOn w:val="DefaultParagraphFont"/>
    <w:uiPriority w:val="99"/>
    <w:semiHidden/>
    <w:unhideWhenUsed/>
    <w:rsid w:val="00092AF7"/>
  </w:style>
  <w:style w:type="paragraph" w:styleId="Footer">
    <w:name w:val="footer"/>
    <w:basedOn w:val="Normal"/>
    <w:link w:val="FooterChar"/>
    <w:uiPriority w:val="99"/>
    <w:unhideWhenUsed/>
    <w:rsid w:val="00092AF7"/>
    <w:pPr>
      <w:tabs>
        <w:tab w:val="center" w:pos="4680"/>
        <w:tab w:val="right" w:pos="9360"/>
      </w:tabs>
    </w:pPr>
  </w:style>
  <w:style w:type="character" w:customStyle="1" w:styleId="FooterChar">
    <w:name w:val="Footer Char"/>
    <w:basedOn w:val="DefaultParagraphFont"/>
    <w:link w:val="Footer"/>
    <w:uiPriority w:val="99"/>
    <w:rsid w:val="00092AF7"/>
  </w:style>
  <w:style w:type="character" w:styleId="FollowedHyperlink">
    <w:name w:val="FollowedHyperlink"/>
    <w:basedOn w:val="DefaultParagraphFont"/>
    <w:uiPriority w:val="99"/>
    <w:semiHidden/>
    <w:unhideWhenUsed/>
    <w:rsid w:val="00092AF7"/>
    <w:rPr>
      <w:color w:val="954F72" w:themeColor="followedHyperlink"/>
      <w:u w:val="single"/>
    </w:rPr>
  </w:style>
  <w:style w:type="paragraph" w:customStyle="1" w:styleId="Standard">
    <w:name w:val="Standard"/>
    <w:rsid w:val="00092AF7"/>
    <w:pPr>
      <w:suppressAutoHyphens/>
      <w:autoSpaceDN w:val="0"/>
      <w:textAlignment w:val="baseline"/>
    </w:pPr>
    <w:rPr>
      <w:rFonts w:ascii="Calibri" w:eastAsia="SimSun" w:hAnsi="Calibri" w:cs="Calibri"/>
      <w:kern w:val="3"/>
    </w:rPr>
  </w:style>
  <w:style w:type="numbering" w:customStyle="1" w:styleId="WWNum10">
    <w:name w:val="WWNum10"/>
    <w:basedOn w:val="NoList"/>
    <w:rsid w:val="00092AF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52708">
      <w:bodyDiv w:val="1"/>
      <w:marLeft w:val="0"/>
      <w:marRight w:val="0"/>
      <w:marTop w:val="0"/>
      <w:marBottom w:val="0"/>
      <w:divBdr>
        <w:top w:val="none" w:sz="0" w:space="0" w:color="auto"/>
        <w:left w:val="none" w:sz="0" w:space="0" w:color="auto"/>
        <w:bottom w:val="none" w:sz="0" w:space="0" w:color="auto"/>
        <w:right w:val="none" w:sz="0" w:space="0" w:color="auto"/>
      </w:divBdr>
    </w:div>
    <w:div w:id="16588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isa.giles@mymnf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ns.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nnualstatutes/2019_24/page-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ac-isc.gc.ca/eng/1541187352297/1541187392851" TargetMode="External"/><Relationship Id="rId4" Type="http://schemas.openxmlformats.org/officeDocument/2006/relationships/settings" Target="settings.xml"/><Relationship Id="rId9" Type="http://schemas.openxmlformats.org/officeDocument/2006/relationships/hyperlink" Target="mailto:strongcommunities-families@laurentian.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8CF82-A83F-BD45-9F19-6820A7D0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Witkowski, Jenica (TSTOR)</dc:creator>
  <cp:keywords/>
  <dc:description/>
  <cp:lastModifiedBy>Witkowski, Jenica (TSTOR)</cp:lastModifiedBy>
  <cp:revision>4</cp:revision>
  <dcterms:created xsi:type="dcterms:W3CDTF">2022-06-20T15:39:00Z</dcterms:created>
  <dcterms:modified xsi:type="dcterms:W3CDTF">2022-06-22T12:32:00Z</dcterms:modified>
</cp:coreProperties>
</file>